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6B1E" w14:textId="77777777" w:rsidR="002712EB" w:rsidRDefault="002712EB">
      <w:pPr>
        <w:widowControl w:val="0"/>
        <w:tabs>
          <w:tab w:val="left" w:pos="9017"/>
        </w:tabs>
        <w:spacing w:before="12" w:line="276" w:lineRule="auto"/>
        <w:ind w:left="3969" w:right="162"/>
        <w:jc w:val="both"/>
        <w:rPr>
          <w:rFonts w:ascii="Times New Roman" w:eastAsia="Times New Roman" w:hAnsi="Times New Roman" w:cs="Times New Roman"/>
          <w:b/>
          <w:sz w:val="24"/>
          <w:szCs w:val="24"/>
        </w:rPr>
      </w:pPr>
    </w:p>
    <w:p w14:paraId="5A8142FA" w14:textId="77777777" w:rsidR="002712EB" w:rsidRDefault="00000000">
      <w:pPr>
        <w:widowControl w:val="0"/>
        <w:tabs>
          <w:tab w:val="left" w:pos="9017"/>
        </w:tabs>
        <w:spacing w:before="12" w:line="276" w:lineRule="auto"/>
        <w:ind w:left="3828" w:right="1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FIJA NORMA TÉCNICA QUE REGULA EL SISTEMA DE BLOQUEO EFECTIVO DE</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LOS DISPOSITIVOS ROBADOS, HURTADOS O EXTRAVIADOS/</w:t>
      </w:r>
    </w:p>
    <w:p w14:paraId="2BF34BEF" w14:textId="77777777" w:rsidR="002712EB" w:rsidRDefault="00000000">
      <w:pPr>
        <w:widowControl w:val="0"/>
        <w:tabs>
          <w:tab w:val="left" w:pos="9017"/>
        </w:tabs>
        <w:spacing w:before="12" w:line="276" w:lineRule="auto"/>
        <w:ind w:left="3969" w:right="16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FB4E4DF" w14:textId="77777777" w:rsidR="002712EB" w:rsidRDefault="00000000">
      <w:pPr>
        <w:spacing w:line="276" w:lineRule="auto"/>
        <w:ind w:firstLine="3828"/>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VISTOS:</w:t>
      </w:r>
    </w:p>
    <w:p w14:paraId="49BCF8B5" w14:textId="77777777" w:rsidR="002712EB" w:rsidRDefault="002712EB">
      <w:pPr>
        <w:spacing w:line="276" w:lineRule="auto"/>
        <w:ind w:firstLine="3828"/>
        <w:rPr>
          <w:rFonts w:ascii="Times New Roman" w:eastAsia="Times New Roman" w:hAnsi="Times New Roman" w:cs="Times New Roman"/>
          <w:b/>
          <w:sz w:val="24"/>
          <w:szCs w:val="24"/>
        </w:rPr>
      </w:pPr>
    </w:p>
    <w:p w14:paraId="719E0C58" w14:textId="77777777" w:rsidR="002712EB" w:rsidRDefault="00000000">
      <w:pPr>
        <w:numPr>
          <w:ilvl w:val="0"/>
          <w:numId w:val="1"/>
        </w:numPr>
        <w:pBdr>
          <w:top w:val="nil"/>
          <w:left w:val="nil"/>
          <w:bottom w:val="nil"/>
          <w:right w:val="nil"/>
          <w:between w:val="nil"/>
        </w:pBdr>
        <w:spacing w:after="0" w:line="276" w:lineRule="auto"/>
        <w:ind w:left="4395"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Decreto Ley N° 1.762, de 1977, que creó la Subsecretaría de Telecomunicaciones.</w:t>
      </w:r>
    </w:p>
    <w:p w14:paraId="574C8EF1" w14:textId="77777777" w:rsidR="002712EB" w:rsidRDefault="00000000">
      <w:pPr>
        <w:numPr>
          <w:ilvl w:val="0"/>
          <w:numId w:val="1"/>
        </w:numPr>
        <w:pBdr>
          <w:top w:val="nil"/>
          <w:left w:val="nil"/>
          <w:bottom w:val="nil"/>
          <w:right w:val="nil"/>
          <w:between w:val="nil"/>
        </w:pBdr>
        <w:spacing w:after="0" w:line="276" w:lineRule="auto"/>
        <w:ind w:left="4395"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Ley N° 18.168, General de Telecomunicaciones.</w:t>
      </w:r>
    </w:p>
    <w:p w14:paraId="2F14A0DF" w14:textId="77777777" w:rsidR="002712EB" w:rsidRDefault="00000000">
      <w:pPr>
        <w:numPr>
          <w:ilvl w:val="0"/>
          <w:numId w:val="1"/>
        </w:numPr>
        <w:pBdr>
          <w:top w:val="nil"/>
          <w:left w:val="nil"/>
          <w:bottom w:val="nil"/>
          <w:right w:val="nil"/>
          <w:between w:val="nil"/>
        </w:pBdr>
        <w:spacing w:after="0" w:line="276" w:lineRule="auto"/>
        <w:ind w:left="4395" w:hanging="566"/>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El Decreto Supremo N° 157 de 2011, que establece el procedimiento que regula el bloqueo de equipos terminales robados, hurtados y extraviados</w:t>
      </w:r>
      <w:r>
        <w:rPr>
          <w:rFonts w:ascii="Times New Roman" w:eastAsia="Times New Roman" w:hAnsi="Times New Roman" w:cs="Times New Roman"/>
          <w:sz w:val="24"/>
          <w:szCs w:val="24"/>
        </w:rPr>
        <w:t>.</w:t>
      </w:r>
    </w:p>
    <w:p w14:paraId="456C6560" w14:textId="77777777" w:rsidR="002712EB" w:rsidRDefault="00000000">
      <w:pPr>
        <w:widowControl w:val="0"/>
        <w:numPr>
          <w:ilvl w:val="0"/>
          <w:numId w:val="1"/>
        </w:numPr>
        <w:spacing w:after="0" w:line="276" w:lineRule="auto"/>
        <w:ind w:left="4395" w:right="110" w:hanging="566"/>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color w:val="000000"/>
          <w:sz w:val="24"/>
          <w:szCs w:val="24"/>
        </w:rPr>
        <w:t>La Resolución Exenta N° 1.068, de 2013, de la Subsecretaría de Telecomunicaciones, que regula el bloqueo de equipos terminales móviles de servicios de telecomunicaciones en situaciones especiales, y sus modificaciones posteriores;</w:t>
      </w:r>
    </w:p>
    <w:p w14:paraId="6A79EFF6" w14:textId="77777777" w:rsidR="002712EB" w:rsidRDefault="00000000">
      <w:pPr>
        <w:numPr>
          <w:ilvl w:val="0"/>
          <w:numId w:val="1"/>
        </w:numPr>
        <w:pBdr>
          <w:top w:val="nil"/>
          <w:left w:val="nil"/>
          <w:bottom w:val="nil"/>
          <w:right w:val="nil"/>
          <w:between w:val="nil"/>
        </w:pBdr>
        <w:spacing w:after="0" w:line="276" w:lineRule="auto"/>
        <w:ind w:left="4395"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Resolución Exenta N° 36, de 2024, de la Contraloría General de la República, que Fija Normas sobre Exención del Trámite de Toma de Razón.</w:t>
      </w:r>
    </w:p>
    <w:p w14:paraId="62F79345" w14:textId="77777777" w:rsidR="002712EB" w:rsidRDefault="002712EB">
      <w:pPr>
        <w:spacing w:line="276" w:lineRule="auto"/>
        <w:jc w:val="both"/>
        <w:rPr>
          <w:rFonts w:ascii="Times New Roman" w:eastAsia="Times New Roman" w:hAnsi="Times New Roman" w:cs="Times New Roman"/>
          <w:color w:val="000000"/>
          <w:sz w:val="24"/>
          <w:szCs w:val="24"/>
        </w:rPr>
      </w:pPr>
    </w:p>
    <w:p w14:paraId="4ED9B547" w14:textId="77777777" w:rsidR="002712EB" w:rsidRDefault="00000000">
      <w:pPr>
        <w:spacing w:line="276" w:lineRule="auto"/>
        <w:ind w:firstLine="382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CONSIDERANDO:</w:t>
      </w:r>
    </w:p>
    <w:p w14:paraId="110C3E43" w14:textId="77777777" w:rsidR="002712EB" w:rsidRDefault="002712EB">
      <w:pPr>
        <w:pBdr>
          <w:top w:val="nil"/>
          <w:left w:val="nil"/>
          <w:bottom w:val="nil"/>
          <w:right w:val="nil"/>
          <w:between w:val="nil"/>
        </w:pBdr>
        <w:tabs>
          <w:tab w:val="left" w:pos="284"/>
        </w:tabs>
        <w:spacing w:after="0" w:line="276" w:lineRule="auto"/>
        <w:ind w:firstLine="3828"/>
        <w:rPr>
          <w:rFonts w:ascii="Times New Roman" w:eastAsia="Times New Roman" w:hAnsi="Times New Roman" w:cs="Times New Roman"/>
          <w:color w:val="000000"/>
          <w:sz w:val="24"/>
          <w:szCs w:val="24"/>
        </w:rPr>
      </w:pPr>
    </w:p>
    <w:p w14:paraId="1DBD3F2C" w14:textId="77777777" w:rsidR="002712EB" w:rsidRDefault="00000000">
      <w:pPr>
        <w:widowControl w:val="0"/>
        <w:numPr>
          <w:ilvl w:val="0"/>
          <w:numId w:val="2"/>
        </w:numPr>
        <w:tabs>
          <w:tab w:val="left" w:pos="284"/>
        </w:tabs>
        <w:spacing w:after="0" w:line="276" w:lineRule="auto"/>
        <w:ind w:left="0" w:right="110" w:firstLine="38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la Ley N° 21.729, modificó la Ley N° 18.168, General de Telecomunicaciones, en adelante la Ley, introduciendo, entre otros, el siguiente artículo 26 quinquies “</w:t>
      </w:r>
      <w:r>
        <w:rPr>
          <w:rFonts w:ascii="Times New Roman" w:eastAsia="Times New Roman" w:hAnsi="Times New Roman" w:cs="Times New Roman"/>
          <w:i/>
          <w:sz w:val="24"/>
          <w:szCs w:val="24"/>
        </w:rPr>
        <w:t xml:space="preserve">Las concesionarias de servicio público telefónico y de transmisión de datos deberán financiar un sistema que permita el bloqueo efectivo de los dispositivos robados, hurtados o extraviados”. </w:t>
      </w:r>
      <w:r>
        <w:rPr>
          <w:rFonts w:ascii="Times New Roman" w:eastAsia="Times New Roman" w:hAnsi="Times New Roman" w:cs="Times New Roman"/>
          <w:sz w:val="24"/>
          <w:szCs w:val="24"/>
        </w:rPr>
        <w:t>Ordenando a continuación a esta Subsecretaría, definir mediante una normativa técnica, entre otros, los mecanismos, condiciones o requisitos que deberá cumplir este sistema”.</w:t>
      </w:r>
    </w:p>
    <w:p w14:paraId="002D429F" w14:textId="77777777" w:rsidR="002712EB" w:rsidRDefault="002712E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36173C0" w14:textId="77777777" w:rsidR="002712EB" w:rsidRDefault="00000000">
      <w:pPr>
        <w:widowControl w:val="0"/>
        <w:numPr>
          <w:ilvl w:val="0"/>
          <w:numId w:val="2"/>
        </w:numPr>
        <w:tabs>
          <w:tab w:val="left" w:pos="284"/>
        </w:tabs>
        <w:spacing w:after="0" w:line="276" w:lineRule="auto"/>
        <w:ind w:left="0" w:right="110" w:firstLine="38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 la normativa citada en los números 3. y 4. de los Vistos, establecen procedimientos para el bloqueo de equipos terminales, tanto para proteger a los usuarios de los servicios de telecomunicaciones como para permitir el correcto funcionamiento de este mercado.</w:t>
      </w:r>
    </w:p>
    <w:p w14:paraId="2CA26A1D" w14:textId="77777777" w:rsidR="002712EB" w:rsidRDefault="00000000">
      <w:pPr>
        <w:widowControl w:val="0"/>
        <w:numPr>
          <w:ilvl w:val="0"/>
          <w:numId w:val="2"/>
        </w:numPr>
        <w:tabs>
          <w:tab w:val="left" w:pos="284"/>
        </w:tabs>
        <w:spacing w:after="0" w:line="276" w:lineRule="auto"/>
        <w:ind w:left="0" w:right="110" w:firstLine="38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si bien la Resolución Exenta de número 4. de los Vistos, regula el bloqueo de equipos terminales móviles de servicios de telecomunicaciones, se ha detectado que, frente al bloqueo de un equipo terminal, existe la práctica de adulterar su IMEI utilizando otro IMEI con formato inválido o uno ya registrado en la red, con el objetivo de burlar dicho bloqueo. Resultando necesario regular un sistema para la detección de estos casos, mediante las validaciones que permita la tecnología y los estándares internacionales, con la finalidad de lograr un bloqueo efectivo de los mismos.</w:t>
      </w:r>
    </w:p>
    <w:p w14:paraId="6DCDA8D5" w14:textId="77777777" w:rsidR="002712EB" w:rsidRDefault="00000000">
      <w:pPr>
        <w:widowControl w:val="0"/>
        <w:numPr>
          <w:ilvl w:val="0"/>
          <w:numId w:val="2"/>
        </w:numPr>
        <w:tabs>
          <w:tab w:val="left" w:pos="284"/>
        </w:tabs>
        <w:spacing w:after="0" w:line="276" w:lineRule="auto"/>
        <w:ind w:left="0" w:right="110" w:firstLine="38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dado que se busca el bloqueo efectivo de terminales desde la implementación de esta normativa en adelante, no es necesario afectar la base actual de usuarios, y en uso de mis facultades;</w:t>
      </w:r>
    </w:p>
    <w:p w14:paraId="05D2EC78" w14:textId="77777777" w:rsidR="002712EB" w:rsidRDefault="002712EB">
      <w:pPr>
        <w:widowControl w:val="0"/>
        <w:tabs>
          <w:tab w:val="left" w:pos="842"/>
        </w:tabs>
        <w:spacing w:after="0" w:line="276" w:lineRule="auto"/>
        <w:ind w:left="360" w:right="110"/>
        <w:jc w:val="both"/>
        <w:rPr>
          <w:rFonts w:ascii="Times New Roman" w:eastAsia="Times New Roman" w:hAnsi="Times New Roman" w:cs="Times New Roman"/>
          <w:sz w:val="24"/>
          <w:szCs w:val="24"/>
        </w:rPr>
      </w:pPr>
    </w:p>
    <w:p w14:paraId="07C65917" w14:textId="77777777" w:rsidR="002712EB" w:rsidRDefault="00000000">
      <w:pPr>
        <w:widowControl w:val="0"/>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RESUELVO:</w:t>
      </w:r>
    </w:p>
    <w:p w14:paraId="5F54823F" w14:textId="77777777" w:rsidR="002712EB" w:rsidRDefault="002712EB">
      <w:pPr>
        <w:widowControl w:val="0"/>
        <w:spacing w:line="276" w:lineRule="auto"/>
        <w:rPr>
          <w:rFonts w:ascii="Times New Roman" w:eastAsia="Times New Roman" w:hAnsi="Times New Roman" w:cs="Times New Roman"/>
          <w:b/>
          <w:sz w:val="24"/>
          <w:szCs w:val="24"/>
        </w:rPr>
      </w:pPr>
    </w:p>
    <w:p w14:paraId="4815A23F"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Apruébese </w:t>
      </w:r>
      <w:r>
        <w:rPr>
          <w:rFonts w:ascii="Times New Roman" w:eastAsia="Times New Roman" w:hAnsi="Times New Roman" w:cs="Times New Roman"/>
          <w:sz w:val="24"/>
          <w:szCs w:val="24"/>
        </w:rPr>
        <w:t>la siguiente resolución que Fija norma técnica que regula el sistema que permite el bloqueo efectivo de los dispositivos robados, hurtados o extraviados:</w:t>
      </w:r>
    </w:p>
    <w:p w14:paraId="00FE324B" w14:textId="77777777" w:rsidR="002712EB" w:rsidRDefault="002712EB">
      <w:pPr>
        <w:widowControl w:val="0"/>
        <w:spacing w:line="276" w:lineRule="auto"/>
        <w:jc w:val="both"/>
        <w:rPr>
          <w:rFonts w:ascii="Times New Roman" w:eastAsia="Times New Roman" w:hAnsi="Times New Roman" w:cs="Times New Roman"/>
          <w:sz w:val="24"/>
          <w:szCs w:val="24"/>
        </w:rPr>
      </w:pPr>
    </w:p>
    <w:p w14:paraId="32DC0DD6" w14:textId="77777777" w:rsidR="002712EB" w:rsidRDefault="00000000">
      <w:pPr>
        <w:widowControl w:val="0"/>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 </w:t>
      </w:r>
      <w:r>
        <w:rPr>
          <w:rFonts w:ascii="Times New Roman" w:eastAsia="Times New Roman" w:hAnsi="Times New Roman" w:cs="Times New Roman"/>
          <w:sz w:val="24"/>
          <w:szCs w:val="24"/>
        </w:rPr>
        <w:t>Para efectos de la presente resolución se entenderá por:</w:t>
      </w:r>
    </w:p>
    <w:p w14:paraId="3F0B9320" w14:textId="306ECEB5" w:rsidR="002712EB" w:rsidRDefault="00914382">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Sistema: Sistema centralizado, </w:t>
      </w:r>
      <w:r w:rsidR="00501806">
        <w:rPr>
          <w:rFonts w:ascii="Times New Roman" w:eastAsia="Times New Roman" w:hAnsi="Times New Roman" w:cs="Times New Roman"/>
          <w:sz w:val="24"/>
          <w:szCs w:val="24"/>
        </w:rPr>
        <w:t>financiado</w:t>
      </w:r>
      <w:r>
        <w:rPr>
          <w:rFonts w:ascii="Times New Roman" w:eastAsia="Times New Roman" w:hAnsi="Times New Roman" w:cs="Times New Roman"/>
          <w:sz w:val="24"/>
          <w:szCs w:val="24"/>
        </w:rPr>
        <w:t xml:space="preserve"> por las concesionarias que presten servicios de telefonía y transmisión de datos (en adelante “las concesionarias”), cuya función es administrar las bases de datos que participan del proceso de detección y bloqueo de IMEI irregulares, esto es, que se encuentran utilizando un IMEI adulterado para replicar a otro IMEI que se encuentre habilitado para traficar en las redes móviles, a través de las listas de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negativa, observación y de excepción.</w:t>
      </w:r>
    </w:p>
    <w:p w14:paraId="3A180370"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w:t>
      </w:r>
      <w:r>
        <w:rPr>
          <w:rFonts w:ascii="Times New Roman" w:eastAsia="Times New Roman" w:hAnsi="Times New Roman" w:cs="Times New Roman"/>
          <w:sz w:val="24"/>
          <w:szCs w:val="24"/>
        </w:rPr>
        <w:t xml:space="preserve"> estructura de datos compuesto por la pareja de un IMEI y un IMSI.</w:t>
      </w:r>
    </w:p>
    <w:p w14:paraId="4648A286"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EIR: </w:t>
      </w:r>
      <w:r>
        <w:rPr>
          <w:rFonts w:ascii="Times New Roman" w:eastAsia="Times New Roman" w:hAnsi="Times New Roman" w:cs="Times New Roman"/>
          <w:sz w:val="24"/>
          <w:szCs w:val="24"/>
        </w:rPr>
        <w:t xml:space="preserve">sigla de </w:t>
      </w:r>
      <w:proofErr w:type="spellStart"/>
      <w:r>
        <w:rPr>
          <w:rFonts w:ascii="Times New Roman" w:eastAsia="Times New Roman" w:hAnsi="Times New Roman" w:cs="Times New Roman"/>
          <w:i/>
          <w:sz w:val="24"/>
          <w:szCs w:val="24"/>
        </w:rPr>
        <w:t>Equipment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Identity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Register</w:t>
      </w:r>
      <w:proofErr w:type="spellEnd"/>
      <w:r>
        <w:rPr>
          <w:rFonts w:ascii="Times New Roman" w:eastAsia="Times New Roman" w:hAnsi="Times New Roman" w:cs="Times New Roman"/>
          <w:sz w:val="24"/>
          <w:szCs w:val="24"/>
        </w:rPr>
        <w:t xml:space="preserve">, Registro de la Identidad de Equipo, base de datos en las redes de los operadores móviles en donde se registran las </w:t>
      </w:r>
      <w:r w:rsidRPr="00510263">
        <w:rPr>
          <w:rFonts w:ascii="Times New Roman" w:eastAsia="Times New Roman" w:hAnsi="Times New Roman" w:cs="Times New Roman"/>
          <w:sz w:val="24"/>
          <w:szCs w:val="24"/>
        </w:rPr>
        <w:t>listas que administran los permisos para realizar comunicaciones de los equipos.</w:t>
      </w:r>
    </w:p>
    <w:p w14:paraId="6B8FC96A"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GSMA</w:t>
      </w:r>
      <w:r>
        <w:rPr>
          <w:rFonts w:ascii="Times New Roman" w:eastAsia="Times New Roman" w:hAnsi="Times New Roman" w:cs="Times New Roman"/>
          <w:sz w:val="24"/>
          <w:szCs w:val="24"/>
        </w:rPr>
        <w:t xml:space="preserve">: Global </w:t>
      </w:r>
      <w:proofErr w:type="spellStart"/>
      <w:r>
        <w:rPr>
          <w:rFonts w:ascii="Times New Roman" w:eastAsia="Times New Roman" w:hAnsi="Times New Roman" w:cs="Times New Roman"/>
          <w:sz w:val="24"/>
          <w:szCs w:val="24"/>
        </w:rPr>
        <w:t>System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Mobile </w:t>
      </w:r>
      <w:proofErr w:type="spellStart"/>
      <w:r>
        <w:rPr>
          <w:rFonts w:ascii="Times New Roman" w:eastAsia="Times New Roman" w:hAnsi="Times New Roman" w:cs="Times New Roman"/>
          <w:sz w:val="24"/>
          <w:szCs w:val="24"/>
        </w:rPr>
        <w:t>Communications</w:t>
      </w:r>
      <w:proofErr w:type="spellEnd"/>
      <w:r>
        <w:rPr>
          <w:rFonts w:ascii="Times New Roman" w:eastAsia="Times New Roman" w:hAnsi="Times New Roman" w:cs="Times New Roman"/>
          <w:sz w:val="24"/>
          <w:szCs w:val="24"/>
        </w:rPr>
        <w:t xml:space="preserve">, organización que reúne a proveedores de servicios móviles e industrias, que, entre otras funciones, administra una base de datos de TAC de los IMEI válidos. </w:t>
      </w:r>
    </w:p>
    <w:p w14:paraId="062EE671"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IMEI</w:t>
      </w:r>
      <w:r>
        <w:rPr>
          <w:rFonts w:ascii="Times New Roman" w:eastAsia="Times New Roman" w:hAnsi="Times New Roman" w:cs="Times New Roman"/>
          <w:sz w:val="24"/>
          <w:szCs w:val="24"/>
        </w:rPr>
        <w:t>: sigla de I</w:t>
      </w:r>
      <w:r>
        <w:rPr>
          <w:rFonts w:ascii="Times New Roman" w:eastAsia="Times New Roman" w:hAnsi="Times New Roman" w:cs="Times New Roman"/>
          <w:i/>
          <w:sz w:val="24"/>
          <w:szCs w:val="24"/>
        </w:rPr>
        <w:t xml:space="preserve">nternational Mobile </w:t>
      </w:r>
      <w:proofErr w:type="spellStart"/>
      <w:r>
        <w:rPr>
          <w:rFonts w:ascii="Times New Roman" w:eastAsia="Times New Roman" w:hAnsi="Times New Roman" w:cs="Times New Roman"/>
          <w:i/>
          <w:sz w:val="24"/>
          <w:szCs w:val="24"/>
        </w:rPr>
        <w:t>Equipment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Identity</w:t>
      </w:r>
      <w:proofErr w:type="spellEnd"/>
      <w:r>
        <w:rPr>
          <w:rFonts w:ascii="Times New Roman" w:eastAsia="Times New Roman" w:hAnsi="Times New Roman" w:cs="Times New Roman"/>
          <w:sz w:val="24"/>
          <w:szCs w:val="24"/>
        </w:rPr>
        <w:t xml:space="preserve">, Identidad Internacional de Equipo Móvil, que es utilizado como identificador de la unidad electrónica que alberga la tarjeta SIM </w:t>
      </w:r>
      <w:r>
        <w:rPr>
          <w:rFonts w:ascii="Times New Roman" w:eastAsia="Times New Roman" w:hAnsi="Times New Roman" w:cs="Times New Roman"/>
          <w:sz w:val="24"/>
          <w:szCs w:val="24"/>
        </w:rPr>
        <w:lastRenderedPageBreak/>
        <w:t>o eSIM en un equipo terminal móvil.</w:t>
      </w:r>
    </w:p>
    <w:p w14:paraId="504B2523"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TAC</w:t>
      </w:r>
      <w:r>
        <w:rPr>
          <w:rFonts w:ascii="Times New Roman" w:eastAsia="Times New Roman" w:hAnsi="Times New Roman" w:cs="Times New Roman"/>
          <w:sz w:val="24"/>
          <w:szCs w:val="24"/>
        </w:rPr>
        <w:t xml:space="preserve">: sigla de </w:t>
      </w:r>
      <w:proofErr w:type="spellStart"/>
      <w:r>
        <w:rPr>
          <w:rFonts w:ascii="Times New Roman" w:eastAsia="Times New Roman" w:hAnsi="Times New Roman" w:cs="Times New Roman"/>
          <w:i/>
          <w:sz w:val="24"/>
          <w:szCs w:val="24"/>
        </w:rPr>
        <w:t>Type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Allocation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Code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Código de Asignación de Tipo, que corresponde a los 8 dígitos iniciales del IMEI que se utiliza para identificar el tipo de dispositivo móvil, incluyendo el fabricante y el modelo.</w:t>
      </w:r>
    </w:p>
    <w:p w14:paraId="6DDC905F"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IMSI</w:t>
      </w:r>
      <w:r>
        <w:rPr>
          <w:rFonts w:ascii="Times New Roman" w:eastAsia="Times New Roman" w:hAnsi="Times New Roman" w:cs="Times New Roman"/>
          <w:sz w:val="24"/>
          <w:szCs w:val="24"/>
        </w:rPr>
        <w:t xml:space="preserve">: sigla de </w:t>
      </w:r>
      <w:r>
        <w:rPr>
          <w:rFonts w:ascii="Times New Roman" w:eastAsia="Times New Roman" w:hAnsi="Times New Roman" w:cs="Times New Roman"/>
          <w:i/>
          <w:sz w:val="24"/>
          <w:szCs w:val="24"/>
        </w:rPr>
        <w:t xml:space="preserve">International Mobile </w:t>
      </w:r>
      <w:proofErr w:type="spellStart"/>
      <w:r>
        <w:rPr>
          <w:rFonts w:ascii="Times New Roman" w:eastAsia="Times New Roman" w:hAnsi="Times New Roman" w:cs="Times New Roman"/>
          <w:i/>
          <w:sz w:val="24"/>
          <w:szCs w:val="24"/>
        </w:rPr>
        <w:t>Subscriber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Identity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Identidad Internacional del Abonado Móvil, utilizado como código para identificar una tarjeta SIM.</w:t>
      </w:r>
    </w:p>
    <w:p w14:paraId="419B727D"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Lista de excepción</w:t>
      </w:r>
      <w:r>
        <w:rPr>
          <w:rFonts w:ascii="Times New Roman" w:eastAsia="Times New Roman" w:hAnsi="Times New Roman" w:cs="Times New Roman"/>
          <w:sz w:val="24"/>
          <w:szCs w:val="24"/>
        </w:rPr>
        <w:t xml:space="preserve">: que contiene los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que son exceptuados del proceso de análisis de situaciones irregulares según lo dispuesto en el artículo 2°.</w:t>
      </w:r>
    </w:p>
    <w:p w14:paraId="0384077F"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Lista de observación</w:t>
      </w:r>
      <w:r>
        <w:rPr>
          <w:rFonts w:ascii="Times New Roman" w:eastAsia="Times New Roman" w:hAnsi="Times New Roman" w:cs="Times New Roman"/>
          <w:sz w:val="24"/>
          <w:szCs w:val="24"/>
        </w:rPr>
        <w:t xml:space="preserve">: que contiene los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sospechosos de utilización de IMEI irregular, cuya situación debe ser aclarada por el usuario.</w:t>
      </w:r>
    </w:p>
    <w:p w14:paraId="7B203DB1"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Lista negativa</w:t>
      </w:r>
      <w:r>
        <w:rPr>
          <w:rFonts w:ascii="Times New Roman" w:eastAsia="Times New Roman" w:hAnsi="Times New Roman" w:cs="Times New Roman"/>
          <w:sz w:val="24"/>
          <w:szCs w:val="24"/>
        </w:rPr>
        <w:t xml:space="preserve">: que contiene los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que estarán bloqueados, esto es, impedidos de traficar en las redes móviles.</w:t>
      </w:r>
    </w:p>
    <w:p w14:paraId="1EEBB619" w14:textId="77777777" w:rsidR="002712EB" w:rsidRDefault="002712EB">
      <w:pPr>
        <w:widowControl w:val="0"/>
        <w:spacing w:line="276" w:lineRule="auto"/>
        <w:jc w:val="both"/>
        <w:rPr>
          <w:rFonts w:ascii="Times New Roman" w:eastAsia="Times New Roman" w:hAnsi="Times New Roman" w:cs="Times New Roman"/>
          <w:sz w:val="24"/>
          <w:szCs w:val="24"/>
        </w:rPr>
      </w:pPr>
    </w:p>
    <w:p w14:paraId="53B5AE3A" w14:textId="77777777" w:rsidR="002712EB" w:rsidRDefault="00000000">
      <w:pPr>
        <w:widowControl w:val="0"/>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w:t>
      </w:r>
    </w:p>
    <w:p w14:paraId="7BE9DC68" w14:textId="7234E216"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concesionarias deberán financiar </w:t>
      </w:r>
      <w:r w:rsidR="0050180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w:t>
      </w:r>
      <w:r w:rsidR="0050180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istema, el cual </w:t>
      </w:r>
      <w:r>
        <w:rPr>
          <w:rFonts w:ascii="Times New Roman" w:eastAsia="Times New Roman" w:hAnsi="Times New Roman" w:cs="Times New Roman"/>
          <w:color w:val="000000"/>
          <w:sz w:val="24"/>
          <w:szCs w:val="24"/>
        </w:rPr>
        <w:t>administrará sus bases de datos centralizadas de pares &lt;IMEI-IMSI&gt; en listas: negativa, de excepción y de observación. Para ello, cada operador móvil deberá disponibilizar diariamente a</w:t>
      </w:r>
      <w:r w:rsidR="00914382">
        <w:rPr>
          <w:rFonts w:ascii="Times New Roman" w:eastAsia="Times New Roman" w:hAnsi="Times New Roman" w:cs="Times New Roman"/>
          <w:color w:val="000000"/>
          <w:sz w:val="24"/>
          <w:szCs w:val="24"/>
        </w:rPr>
        <w:t xml:space="preserve">l </w:t>
      </w:r>
      <w:r w:rsidR="001C543E">
        <w:rPr>
          <w:rFonts w:ascii="Times New Roman" w:eastAsia="Times New Roman" w:hAnsi="Times New Roman" w:cs="Times New Roman"/>
          <w:color w:val="000000"/>
          <w:sz w:val="24"/>
          <w:szCs w:val="24"/>
        </w:rPr>
        <w:t>S</w:t>
      </w:r>
      <w:r w:rsidR="00914382">
        <w:rPr>
          <w:rFonts w:ascii="Times New Roman" w:eastAsia="Times New Roman" w:hAnsi="Times New Roman" w:cs="Times New Roman"/>
          <w:color w:val="000000"/>
          <w:sz w:val="24"/>
          <w:szCs w:val="24"/>
        </w:rPr>
        <w:t>istema</w:t>
      </w:r>
      <w:r>
        <w:rPr>
          <w:rFonts w:ascii="Times New Roman" w:eastAsia="Times New Roman" w:hAnsi="Times New Roman" w:cs="Times New Roman"/>
          <w:color w:val="000000"/>
          <w:sz w:val="24"/>
          <w:szCs w:val="24"/>
        </w:rPr>
        <w:t xml:space="preserve">, antes de las 12 AM, los </w:t>
      </w:r>
      <w:r>
        <w:rPr>
          <w:rFonts w:ascii="Times New Roman" w:eastAsia="Times New Roman" w:hAnsi="Times New Roman" w:cs="Times New Roman"/>
          <w:b/>
          <w:color w:val="000000"/>
          <w:sz w:val="24"/>
          <w:szCs w:val="24"/>
        </w:rPr>
        <w:t>pares</w:t>
      </w:r>
      <w:r>
        <w:rPr>
          <w:rFonts w:ascii="Times New Roman" w:eastAsia="Times New Roman" w:hAnsi="Times New Roman" w:cs="Times New Roman"/>
          <w:color w:val="000000"/>
          <w:sz w:val="24"/>
          <w:szCs w:val="24"/>
        </w:rPr>
        <w:t xml:space="preserve"> de todas las comunicaciones de voz -de salida o entrada-, sesiones de datos o SMS; en adelante “comunicaciones”, cursadas en su red durante las 24 horas del día anterior. Esta información debe contener, al menos, </w:t>
      </w:r>
      <w:r w:rsidRPr="00510263">
        <w:rPr>
          <w:rFonts w:ascii="Times New Roman" w:eastAsia="Times New Roman" w:hAnsi="Times New Roman" w:cs="Times New Roman"/>
          <w:color w:val="000000"/>
          <w:sz w:val="24"/>
          <w:szCs w:val="24"/>
        </w:rPr>
        <w:t>el nombre y RUT del operador móvil</w:t>
      </w:r>
      <w:r>
        <w:rPr>
          <w:rFonts w:ascii="Times New Roman" w:eastAsia="Times New Roman" w:hAnsi="Times New Roman" w:cs="Times New Roman"/>
          <w:color w:val="000000"/>
          <w:sz w:val="24"/>
          <w:szCs w:val="24"/>
        </w:rPr>
        <w:t>, la fecha</w:t>
      </w:r>
      <w:r>
        <w:rPr>
          <w:rFonts w:ascii="Times New Roman" w:eastAsia="Times New Roman" w:hAnsi="Times New Roman" w:cs="Times New Roman"/>
          <w:sz w:val="24"/>
          <w:szCs w:val="24"/>
        </w:rPr>
        <w:t>, hora, minuto y segundo de inicio y fin de cada comunicación, además de las coordenadas geográficas de latitud y longitud de la estación base que cursó el inicio y el fin de dichas comunicaciones expresadas en grados decimales con no menos de 6 decimales, en Datum WGS84.</w:t>
      </w:r>
    </w:p>
    <w:p w14:paraId="55B96CDA" w14:textId="68F060D8"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la información entregada por los operadores móviles, </w:t>
      </w:r>
      <w:r w:rsidR="0050180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w:t>
      </w:r>
      <w:r w:rsidR="00501806">
        <w:rPr>
          <w:rFonts w:ascii="Times New Roman" w:eastAsia="Times New Roman" w:hAnsi="Times New Roman" w:cs="Times New Roman"/>
          <w:sz w:val="24"/>
          <w:szCs w:val="24"/>
        </w:rPr>
        <w:t>S</w:t>
      </w:r>
      <w:r>
        <w:rPr>
          <w:rFonts w:ascii="Times New Roman" w:eastAsia="Times New Roman" w:hAnsi="Times New Roman" w:cs="Times New Roman"/>
          <w:sz w:val="24"/>
          <w:szCs w:val="24"/>
        </w:rPr>
        <w:t>istema emitirá</w:t>
      </w:r>
      <w:r w:rsidR="005018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una </w:t>
      </w:r>
      <w:r>
        <w:rPr>
          <w:rFonts w:ascii="Times New Roman" w:eastAsia="Times New Roman" w:hAnsi="Times New Roman" w:cs="Times New Roman"/>
          <w:b/>
          <w:sz w:val="24"/>
          <w:szCs w:val="24"/>
        </w:rPr>
        <w:t>lista de observación</w:t>
      </w:r>
      <w:r>
        <w:rPr>
          <w:rFonts w:ascii="Times New Roman" w:eastAsia="Times New Roman" w:hAnsi="Times New Roman" w:cs="Times New Roman"/>
          <w:sz w:val="24"/>
          <w:szCs w:val="24"/>
        </w:rPr>
        <w:t xml:space="preserve"> conteniendo todos los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que cumplan con alguno de los criterios siguientes:</w:t>
      </w:r>
    </w:p>
    <w:p w14:paraId="4591D6C3" w14:textId="77777777" w:rsidR="002712EB" w:rsidRDefault="00000000">
      <w:pPr>
        <w:widowControl w:val="0"/>
        <w:numPr>
          <w:ilvl w:val="0"/>
          <w:numId w:val="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para un mismo </w:t>
      </w:r>
      <w:proofErr w:type="gramStart"/>
      <w:r>
        <w:rPr>
          <w:rFonts w:ascii="Times New Roman" w:eastAsia="Times New Roman" w:hAnsi="Times New Roman" w:cs="Times New Roman"/>
          <w:sz w:val="24"/>
          <w:szCs w:val="24"/>
        </w:rPr>
        <w:t>IMEI</w:t>
      </w:r>
      <w:proofErr w:type="gramEnd"/>
      <w:r>
        <w:rPr>
          <w:rFonts w:ascii="Times New Roman" w:eastAsia="Times New Roman" w:hAnsi="Times New Roman" w:cs="Times New Roman"/>
          <w:sz w:val="24"/>
          <w:szCs w:val="24"/>
        </w:rPr>
        <w:t xml:space="preserve"> pero diferente IMSI, hayan iniciado o terminado comunicaciones a un momento del tiempo menor o igual y utilizando una estación base ubicada a una distancia mayor al indicado en alguno de los criterios de la siguiente tabla de tiempo/distancia:</w:t>
      </w:r>
    </w:p>
    <w:p w14:paraId="06E8E271" w14:textId="77777777" w:rsidR="002712EB" w:rsidRDefault="00000000">
      <w:pPr>
        <w:widowControl w:val="0"/>
        <w:spacing w:line="276" w:lineRule="auto"/>
        <w:ind w:left="72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4A9335E5" wp14:editId="0C876DC2">
            <wp:extent cx="2197846" cy="3493129"/>
            <wp:effectExtent l="0" t="0" r="0" b="0"/>
            <wp:docPr id="18630065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97846" cy="3493129"/>
                    </a:xfrm>
                    <a:prstGeom prst="rect">
                      <a:avLst/>
                    </a:prstGeom>
                    <a:ln/>
                  </pic:spPr>
                </pic:pic>
              </a:graphicData>
            </a:graphic>
          </wp:inline>
        </w:drawing>
      </w:r>
    </w:p>
    <w:p w14:paraId="2F43B63C" w14:textId="77777777" w:rsidR="002712EB"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44546A"/>
          <w:sz w:val="24"/>
          <w:szCs w:val="24"/>
        </w:rPr>
      </w:pPr>
      <w:r>
        <w:rPr>
          <w:rFonts w:ascii="Times New Roman" w:eastAsia="Times New Roman" w:hAnsi="Times New Roman" w:cs="Times New Roman"/>
          <w:i/>
          <w:color w:val="44546A"/>
          <w:sz w:val="18"/>
          <w:szCs w:val="18"/>
        </w:rPr>
        <w:t>Tabla 1 Tabla tiempo/distancia</w:t>
      </w:r>
    </w:p>
    <w:p w14:paraId="53B2E394" w14:textId="77777777" w:rsidR="002712EB" w:rsidRDefault="00000000">
      <w:pPr>
        <w:widowControl w:val="0"/>
        <w:numPr>
          <w:ilvl w:val="0"/>
          <w:numId w:val="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independiente de la ubicación, corresponden a comunicaciones de voz que ocurrieron de forma coincidente o traslapada en el tiempo.</w:t>
      </w:r>
    </w:p>
    <w:p w14:paraId="10D17F0F" w14:textId="77777777" w:rsidR="002712EB" w:rsidRDefault="00000000">
      <w:pPr>
        <w:widowControl w:val="0"/>
        <w:numPr>
          <w:ilvl w:val="0"/>
          <w:numId w:val="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independiente de la ubicación, corresponden a comunicaciones realizadas por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en donde el mismo IMEI se encuentra aparejado a 10 o más IMSI diferentes, en un mismo </w:t>
      </w:r>
      <w:r>
        <w:rPr>
          <w:rFonts w:ascii="Times New Roman" w:eastAsia="Times New Roman" w:hAnsi="Times New Roman" w:cs="Times New Roman"/>
          <w:b/>
          <w:sz w:val="24"/>
          <w:szCs w:val="24"/>
        </w:rPr>
        <w:t>período de reporte</w:t>
      </w:r>
      <w:r>
        <w:rPr>
          <w:rFonts w:ascii="Times New Roman" w:eastAsia="Times New Roman" w:hAnsi="Times New Roman" w:cs="Times New Roman"/>
          <w:sz w:val="24"/>
          <w:szCs w:val="24"/>
        </w:rPr>
        <w:t xml:space="preserve"> descrito en el inciso siguiente.</w:t>
      </w:r>
    </w:p>
    <w:p w14:paraId="50041134" w14:textId="381F01CD"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sidR="0050180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istema remitirá a cada concesionario, la </w:t>
      </w:r>
      <w:r>
        <w:rPr>
          <w:rFonts w:ascii="Times New Roman" w:eastAsia="Times New Roman" w:hAnsi="Times New Roman" w:cs="Times New Roman"/>
          <w:b/>
          <w:sz w:val="24"/>
          <w:szCs w:val="24"/>
        </w:rPr>
        <w:t>lista de observación</w:t>
      </w:r>
      <w:r>
        <w:rPr>
          <w:rFonts w:ascii="Times New Roman" w:eastAsia="Times New Roman" w:hAnsi="Times New Roman" w:cs="Times New Roman"/>
          <w:sz w:val="24"/>
          <w:szCs w:val="24"/>
        </w:rPr>
        <w:t xml:space="preserve"> referida sólo a sus IMSI, y deberá ser remitida por este último al nuevo concesionario en caso de portabilidad, los días 1 y 15 de cada mes, conteniendo todos los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que cumplan con alguno de los criterios antes indicados en los numerales i.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 xml:space="preserve">., a partir del tráfico cursado en el </w:t>
      </w:r>
      <w:r>
        <w:rPr>
          <w:rFonts w:ascii="Times New Roman" w:eastAsia="Times New Roman" w:hAnsi="Times New Roman" w:cs="Times New Roman"/>
          <w:b/>
          <w:sz w:val="24"/>
          <w:szCs w:val="24"/>
        </w:rPr>
        <w:t>período de reporte</w:t>
      </w:r>
      <w:r>
        <w:rPr>
          <w:rFonts w:ascii="Times New Roman" w:eastAsia="Times New Roman" w:hAnsi="Times New Roman" w:cs="Times New Roman"/>
          <w:sz w:val="24"/>
          <w:szCs w:val="24"/>
        </w:rPr>
        <w:t xml:space="preserve"> comprendido desde las 00:00 del día posterior a la </w:t>
      </w:r>
      <w:r w:rsidR="00802AF0">
        <w:rPr>
          <w:rFonts w:ascii="Times New Roman" w:eastAsia="Times New Roman" w:hAnsi="Times New Roman" w:cs="Times New Roman"/>
          <w:sz w:val="24"/>
          <w:szCs w:val="24"/>
        </w:rPr>
        <w:t xml:space="preserve">fecha de corte para </w:t>
      </w:r>
      <w:r w:rsidR="00D2789D">
        <w:rPr>
          <w:rFonts w:ascii="Times New Roman" w:eastAsia="Times New Roman" w:hAnsi="Times New Roman" w:cs="Times New Roman"/>
          <w:sz w:val="24"/>
          <w:szCs w:val="24"/>
        </w:rPr>
        <w:t xml:space="preserve">captura de </w:t>
      </w:r>
      <w:r w:rsidR="00802AF0">
        <w:rPr>
          <w:rFonts w:ascii="Times New Roman" w:eastAsia="Times New Roman" w:hAnsi="Times New Roman" w:cs="Times New Roman"/>
          <w:sz w:val="24"/>
          <w:szCs w:val="24"/>
        </w:rPr>
        <w:t>datos</w:t>
      </w:r>
      <w:r w:rsidR="00D278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la lista de observación</w:t>
      </w:r>
      <w:r w:rsidR="00802AF0">
        <w:rPr>
          <w:rFonts w:ascii="Times New Roman" w:eastAsia="Times New Roman" w:hAnsi="Times New Roman" w:cs="Times New Roman"/>
          <w:sz w:val="24"/>
          <w:szCs w:val="24"/>
        </w:rPr>
        <w:t xml:space="preserve"> inmediatamente anterior</w:t>
      </w:r>
      <w:r w:rsidR="005102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las 23:59 horas de cuatro días </w:t>
      </w:r>
      <w:r w:rsidR="00802AF0">
        <w:rPr>
          <w:rFonts w:ascii="Times New Roman" w:eastAsia="Times New Roman" w:hAnsi="Times New Roman" w:cs="Times New Roman"/>
          <w:sz w:val="24"/>
          <w:szCs w:val="24"/>
        </w:rPr>
        <w:t xml:space="preserve">corridos </w:t>
      </w:r>
      <w:r>
        <w:rPr>
          <w:rFonts w:ascii="Times New Roman" w:eastAsia="Times New Roman" w:hAnsi="Times New Roman" w:cs="Times New Roman"/>
          <w:sz w:val="24"/>
          <w:szCs w:val="24"/>
        </w:rPr>
        <w:t xml:space="preserve">antes de la emisión de la nueva lista de observación, excluyendo de dicha </w:t>
      </w:r>
      <w:r>
        <w:rPr>
          <w:rFonts w:ascii="Times New Roman" w:eastAsia="Times New Roman" w:hAnsi="Times New Roman" w:cs="Times New Roman"/>
          <w:b/>
          <w:sz w:val="24"/>
          <w:szCs w:val="24"/>
        </w:rPr>
        <w:t>lista de observación</w:t>
      </w:r>
      <w:r>
        <w:rPr>
          <w:rFonts w:ascii="Times New Roman" w:eastAsia="Times New Roman" w:hAnsi="Times New Roman" w:cs="Times New Roman"/>
          <w:sz w:val="24"/>
          <w:szCs w:val="24"/>
        </w:rPr>
        <w:t xml:space="preserve"> aquellos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que se encuentren en </w:t>
      </w:r>
      <w:r>
        <w:rPr>
          <w:rFonts w:ascii="Times New Roman" w:eastAsia="Times New Roman" w:hAnsi="Times New Roman" w:cs="Times New Roman"/>
          <w:b/>
          <w:sz w:val="24"/>
          <w:szCs w:val="24"/>
        </w:rPr>
        <w:t>lista de excepción</w:t>
      </w:r>
      <w:r>
        <w:rPr>
          <w:rFonts w:ascii="Times New Roman" w:eastAsia="Times New Roman" w:hAnsi="Times New Roman" w:cs="Times New Roman"/>
          <w:sz w:val="24"/>
          <w:szCs w:val="24"/>
        </w:rPr>
        <w:t xml:space="preserve">. </w:t>
      </w:r>
    </w:p>
    <w:p w14:paraId="4714DEEB" w14:textId="2E684C31"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sidR="001C543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istema deberá mantener una lista de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con la comunicación más antigua de un determinado IMEI, con la fecha y hora de comunicación.</w:t>
      </w:r>
    </w:p>
    <w:p w14:paraId="06B8ADD9" w14:textId="77777777" w:rsidR="002712EB" w:rsidRDefault="002712EB">
      <w:pPr>
        <w:widowControl w:val="0"/>
        <w:spacing w:line="276" w:lineRule="auto"/>
        <w:jc w:val="both"/>
        <w:rPr>
          <w:rFonts w:ascii="Times New Roman" w:eastAsia="Times New Roman" w:hAnsi="Times New Roman" w:cs="Times New Roman"/>
          <w:sz w:val="24"/>
          <w:szCs w:val="24"/>
        </w:rPr>
      </w:pPr>
    </w:p>
    <w:p w14:paraId="75F21474" w14:textId="77777777" w:rsidR="002712EB" w:rsidRDefault="00000000">
      <w:pPr>
        <w:widowControl w:val="0"/>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3°</w:t>
      </w:r>
    </w:p>
    <w:p w14:paraId="63078FF0" w14:textId="77777777" w:rsidR="002712EB" w:rsidRDefault="00000000">
      <w:pPr>
        <w:widowControl w:val="0"/>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El concesionario al que corresponda el IMSI, deberá solicitar a los usuarios o suscriptores de </w:t>
      </w:r>
      <w:r>
        <w:rPr>
          <w:rFonts w:ascii="Times New Roman" w:eastAsia="Times New Roman" w:hAnsi="Times New Roman" w:cs="Times New Roman"/>
          <w:sz w:val="24"/>
          <w:szCs w:val="24"/>
        </w:rPr>
        <w:lastRenderedPageBreak/>
        <w:t xml:space="preserve">cada </w:t>
      </w:r>
      <w:r>
        <w:rPr>
          <w:rFonts w:ascii="Times New Roman" w:eastAsia="Times New Roman" w:hAnsi="Times New Roman" w:cs="Times New Roman"/>
          <w:b/>
          <w:sz w:val="24"/>
          <w:szCs w:val="24"/>
        </w:rPr>
        <w:t>par</w:t>
      </w:r>
      <w:r>
        <w:rPr>
          <w:rFonts w:ascii="Times New Roman" w:eastAsia="Times New Roman" w:hAnsi="Times New Roman" w:cs="Times New Roman"/>
          <w:sz w:val="24"/>
          <w:szCs w:val="24"/>
        </w:rPr>
        <w:t xml:space="preserve"> contenido en la </w:t>
      </w:r>
      <w:r>
        <w:rPr>
          <w:rFonts w:ascii="Times New Roman" w:eastAsia="Times New Roman" w:hAnsi="Times New Roman" w:cs="Times New Roman"/>
          <w:b/>
          <w:sz w:val="24"/>
          <w:szCs w:val="24"/>
        </w:rPr>
        <w:t>lista de observación</w:t>
      </w:r>
      <w:r>
        <w:rPr>
          <w:rFonts w:ascii="Times New Roman" w:eastAsia="Times New Roman" w:hAnsi="Times New Roman" w:cs="Times New Roman"/>
          <w:sz w:val="24"/>
          <w:szCs w:val="24"/>
        </w:rPr>
        <w:t xml:space="preserve">, dentro del plazo de 10 días, acreditar la existencia de un justo título que habilite el uso del dispositivo. </w:t>
      </w:r>
    </w:p>
    <w:p w14:paraId="3429D64F" w14:textId="77777777" w:rsidR="002712EB" w:rsidRDefault="000000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el usuario o suscriptor no logra acreditar la existencia de un justo título que habilite el uso del dispositivo o equipo terminal, deberá presentar una declaración jurada notarial, en dicho sentido, según el formato contenido en el Anexo. </w:t>
      </w:r>
    </w:p>
    <w:p w14:paraId="440F72A9" w14:textId="144263F1"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Acreditada la existencia de un justo título o suscrita la declaración jurada, el operador móvil deberá enviar el </w:t>
      </w:r>
      <w:r>
        <w:rPr>
          <w:rFonts w:ascii="Times New Roman" w:eastAsia="Times New Roman" w:hAnsi="Times New Roman" w:cs="Times New Roman"/>
          <w:b/>
          <w:sz w:val="24"/>
          <w:szCs w:val="24"/>
        </w:rPr>
        <w:t>par</w:t>
      </w:r>
      <w:r>
        <w:rPr>
          <w:rFonts w:ascii="Times New Roman" w:eastAsia="Times New Roman" w:hAnsi="Times New Roman" w:cs="Times New Roman"/>
          <w:sz w:val="24"/>
          <w:szCs w:val="24"/>
        </w:rPr>
        <w:t xml:space="preserve"> correspondiente al usuario o suscriptor a</w:t>
      </w:r>
      <w:r w:rsidR="00914382">
        <w:rPr>
          <w:rFonts w:ascii="Times New Roman" w:eastAsia="Times New Roman" w:hAnsi="Times New Roman" w:cs="Times New Roman"/>
          <w:sz w:val="24"/>
          <w:szCs w:val="24"/>
        </w:rPr>
        <w:t xml:space="preserve">l </w:t>
      </w:r>
      <w:r w:rsidR="001C543E">
        <w:rPr>
          <w:rFonts w:ascii="Times New Roman" w:eastAsia="Times New Roman" w:hAnsi="Times New Roman" w:cs="Times New Roman"/>
          <w:sz w:val="24"/>
          <w:szCs w:val="24"/>
        </w:rPr>
        <w:t>S</w:t>
      </w:r>
      <w:r w:rsidR="00914382">
        <w:rPr>
          <w:rFonts w:ascii="Times New Roman" w:eastAsia="Times New Roman" w:hAnsi="Times New Roman" w:cs="Times New Roman"/>
          <w:sz w:val="24"/>
          <w:szCs w:val="24"/>
        </w:rPr>
        <w:t>istema</w:t>
      </w:r>
      <w:r>
        <w:rPr>
          <w:rFonts w:ascii="Times New Roman" w:eastAsia="Times New Roman" w:hAnsi="Times New Roman" w:cs="Times New Roman"/>
          <w:sz w:val="24"/>
          <w:szCs w:val="24"/>
        </w:rPr>
        <w:t xml:space="preserve">, para ser incluido en la </w:t>
      </w:r>
      <w:r>
        <w:rPr>
          <w:rFonts w:ascii="Times New Roman" w:eastAsia="Times New Roman" w:hAnsi="Times New Roman" w:cs="Times New Roman"/>
          <w:b/>
          <w:sz w:val="24"/>
          <w:szCs w:val="24"/>
        </w:rPr>
        <w:t>lista de excepción</w:t>
      </w:r>
      <w:r>
        <w:rPr>
          <w:rFonts w:ascii="Times New Roman" w:eastAsia="Times New Roman" w:hAnsi="Times New Roman" w:cs="Times New Roman"/>
          <w:sz w:val="24"/>
          <w:szCs w:val="24"/>
        </w:rPr>
        <w:t xml:space="preserve"> de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en un plazo máximo de 1 hora.</w:t>
      </w:r>
    </w:p>
    <w:p w14:paraId="1FAE8EB2" w14:textId="77777777" w:rsidR="002712EB" w:rsidRDefault="002712EB">
      <w:pPr>
        <w:widowControl w:val="0"/>
        <w:spacing w:line="276" w:lineRule="auto"/>
        <w:jc w:val="both"/>
        <w:rPr>
          <w:rFonts w:ascii="Times New Roman" w:eastAsia="Times New Roman" w:hAnsi="Times New Roman" w:cs="Times New Roman"/>
          <w:sz w:val="24"/>
          <w:szCs w:val="24"/>
        </w:rPr>
      </w:pPr>
    </w:p>
    <w:p w14:paraId="06A4F937" w14:textId="77777777" w:rsidR="002712EB" w:rsidRDefault="00000000">
      <w:pPr>
        <w:widowControl w:val="0"/>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4° </w:t>
      </w:r>
    </w:p>
    <w:p w14:paraId="01F96F74" w14:textId="072856A0" w:rsidR="002712EB" w:rsidRDefault="00000000">
      <w:pPr>
        <w:widowControl w:val="0"/>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el usuario o suscriptor no acredita la existencia de un justo título ni acompaña la declaración jurada de conformidad a lo señalado en el artículo precedente, o el operador detecte que el equipo terminal presenta un IMEI adulterado, el operador móvil deberá enviar el </w:t>
      </w:r>
      <w:r>
        <w:rPr>
          <w:rFonts w:ascii="Times New Roman" w:eastAsia="Times New Roman" w:hAnsi="Times New Roman" w:cs="Times New Roman"/>
          <w:b/>
          <w:color w:val="000000"/>
          <w:sz w:val="24"/>
          <w:szCs w:val="24"/>
        </w:rPr>
        <w:t>par</w:t>
      </w:r>
      <w:r>
        <w:rPr>
          <w:rFonts w:ascii="Times New Roman" w:eastAsia="Times New Roman" w:hAnsi="Times New Roman" w:cs="Times New Roman"/>
          <w:color w:val="000000"/>
          <w:sz w:val="24"/>
          <w:szCs w:val="24"/>
        </w:rPr>
        <w:t xml:space="preserve"> correspondiente al usuario o suscriptor a</w:t>
      </w:r>
      <w:r w:rsidR="00914382">
        <w:rPr>
          <w:rFonts w:ascii="Times New Roman" w:eastAsia="Times New Roman" w:hAnsi="Times New Roman" w:cs="Times New Roman"/>
          <w:color w:val="000000"/>
          <w:sz w:val="24"/>
          <w:szCs w:val="24"/>
        </w:rPr>
        <w:t xml:space="preserve">l </w:t>
      </w:r>
      <w:r w:rsidR="001C543E">
        <w:rPr>
          <w:rFonts w:ascii="Times New Roman" w:eastAsia="Times New Roman" w:hAnsi="Times New Roman" w:cs="Times New Roman"/>
          <w:color w:val="000000"/>
          <w:sz w:val="24"/>
          <w:szCs w:val="24"/>
        </w:rPr>
        <w:t>S</w:t>
      </w:r>
      <w:r w:rsidR="00914382">
        <w:rPr>
          <w:rFonts w:ascii="Times New Roman" w:eastAsia="Times New Roman" w:hAnsi="Times New Roman" w:cs="Times New Roman"/>
          <w:color w:val="000000"/>
          <w:sz w:val="24"/>
          <w:szCs w:val="24"/>
        </w:rPr>
        <w:t>istema</w:t>
      </w:r>
      <w:r>
        <w:rPr>
          <w:rFonts w:ascii="Times New Roman" w:eastAsia="Times New Roman" w:hAnsi="Times New Roman" w:cs="Times New Roman"/>
          <w:color w:val="000000"/>
          <w:sz w:val="24"/>
          <w:szCs w:val="24"/>
        </w:rPr>
        <w:t xml:space="preserve">, en un plazo máximo de 1 hora, para ser inscrito en la </w:t>
      </w:r>
      <w:r>
        <w:rPr>
          <w:rFonts w:ascii="Times New Roman" w:eastAsia="Times New Roman" w:hAnsi="Times New Roman" w:cs="Times New Roman"/>
          <w:b/>
          <w:color w:val="000000"/>
          <w:sz w:val="24"/>
          <w:szCs w:val="24"/>
        </w:rPr>
        <w:t>lista negativa</w:t>
      </w:r>
      <w:r>
        <w:rPr>
          <w:rFonts w:ascii="Times New Roman" w:eastAsia="Times New Roman" w:hAnsi="Times New Roman" w:cs="Times New Roman"/>
          <w:color w:val="000000"/>
          <w:sz w:val="24"/>
          <w:szCs w:val="24"/>
        </w:rPr>
        <w:t xml:space="preserve">. </w:t>
      </w:r>
    </w:p>
    <w:p w14:paraId="593558A8" w14:textId="7BEEE65A"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Transcurrido el plazo de 10 días a que se refiere el inciso primero del artículo 3°, sin que el </w:t>
      </w:r>
      <w:r>
        <w:rPr>
          <w:rFonts w:ascii="Times New Roman" w:eastAsia="Times New Roman" w:hAnsi="Times New Roman" w:cs="Times New Roman"/>
          <w:b/>
          <w:sz w:val="24"/>
          <w:szCs w:val="24"/>
        </w:rPr>
        <w:t>par</w:t>
      </w:r>
      <w:r>
        <w:rPr>
          <w:rFonts w:ascii="Times New Roman" w:eastAsia="Times New Roman" w:hAnsi="Times New Roman" w:cs="Times New Roman"/>
          <w:sz w:val="24"/>
          <w:szCs w:val="24"/>
        </w:rPr>
        <w:t xml:space="preserve"> sea reportado en la lista de excepción por el operador móvil respectivo, el </w:t>
      </w:r>
      <w:r w:rsidR="001C543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istema procederá a incluir automáticamente dicho </w:t>
      </w:r>
      <w:r>
        <w:rPr>
          <w:rFonts w:ascii="Times New Roman" w:eastAsia="Times New Roman" w:hAnsi="Times New Roman" w:cs="Times New Roman"/>
          <w:b/>
          <w:sz w:val="24"/>
          <w:szCs w:val="24"/>
        </w:rPr>
        <w:t>par</w:t>
      </w:r>
      <w:r>
        <w:rPr>
          <w:rFonts w:ascii="Times New Roman" w:eastAsia="Times New Roman" w:hAnsi="Times New Roman" w:cs="Times New Roman"/>
          <w:sz w:val="24"/>
          <w:szCs w:val="24"/>
        </w:rPr>
        <w:t xml:space="preserve"> en la </w:t>
      </w:r>
      <w:r>
        <w:rPr>
          <w:rFonts w:ascii="Times New Roman" w:eastAsia="Times New Roman" w:hAnsi="Times New Roman" w:cs="Times New Roman"/>
          <w:b/>
          <w:sz w:val="24"/>
          <w:szCs w:val="24"/>
        </w:rPr>
        <w:t>lista negativa</w:t>
      </w:r>
      <w:r>
        <w:rPr>
          <w:rFonts w:ascii="Times New Roman" w:eastAsia="Times New Roman" w:hAnsi="Times New Roman" w:cs="Times New Roman"/>
          <w:sz w:val="24"/>
          <w:szCs w:val="24"/>
        </w:rPr>
        <w:t>.</w:t>
      </w:r>
    </w:p>
    <w:p w14:paraId="6E97029E" w14:textId="29BC7522"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evento que, luego de ingresado el </w:t>
      </w:r>
      <w:r>
        <w:rPr>
          <w:rFonts w:ascii="Times New Roman" w:eastAsia="Times New Roman" w:hAnsi="Times New Roman" w:cs="Times New Roman"/>
          <w:b/>
          <w:sz w:val="24"/>
          <w:szCs w:val="24"/>
        </w:rPr>
        <w:t>par</w:t>
      </w:r>
      <w:r>
        <w:rPr>
          <w:rFonts w:ascii="Times New Roman" w:eastAsia="Times New Roman" w:hAnsi="Times New Roman" w:cs="Times New Roman"/>
          <w:sz w:val="24"/>
          <w:szCs w:val="24"/>
        </w:rPr>
        <w:t xml:space="preserve"> a la </w:t>
      </w:r>
      <w:r>
        <w:rPr>
          <w:rFonts w:ascii="Times New Roman" w:eastAsia="Times New Roman" w:hAnsi="Times New Roman" w:cs="Times New Roman"/>
          <w:b/>
          <w:sz w:val="24"/>
          <w:szCs w:val="24"/>
        </w:rPr>
        <w:t>lista negativa</w:t>
      </w:r>
      <w:r>
        <w:rPr>
          <w:rFonts w:ascii="Times New Roman" w:eastAsia="Times New Roman" w:hAnsi="Times New Roman" w:cs="Times New Roman"/>
          <w:sz w:val="24"/>
          <w:szCs w:val="24"/>
        </w:rPr>
        <w:t xml:space="preserve">, el usuario o suscriptor cumpla los requisitos para ingresar a la </w:t>
      </w:r>
      <w:r>
        <w:rPr>
          <w:rFonts w:ascii="Times New Roman" w:eastAsia="Times New Roman" w:hAnsi="Times New Roman" w:cs="Times New Roman"/>
          <w:b/>
          <w:sz w:val="24"/>
          <w:szCs w:val="24"/>
        </w:rPr>
        <w:t>lista de excepción</w:t>
      </w:r>
      <w:r>
        <w:rPr>
          <w:rFonts w:ascii="Times New Roman" w:eastAsia="Times New Roman" w:hAnsi="Times New Roman" w:cs="Times New Roman"/>
          <w:sz w:val="24"/>
          <w:szCs w:val="24"/>
        </w:rPr>
        <w:t xml:space="preserve">, el operador móvil deberá solicitar la eliminación en </w:t>
      </w:r>
      <w:r w:rsidR="00914382">
        <w:rPr>
          <w:rFonts w:ascii="Times New Roman" w:eastAsia="Times New Roman" w:hAnsi="Times New Roman" w:cs="Times New Roman"/>
          <w:sz w:val="24"/>
          <w:szCs w:val="24"/>
        </w:rPr>
        <w:t xml:space="preserve">el </w:t>
      </w:r>
      <w:r w:rsidR="001C543E">
        <w:rPr>
          <w:rFonts w:ascii="Times New Roman" w:eastAsia="Times New Roman" w:hAnsi="Times New Roman" w:cs="Times New Roman"/>
          <w:sz w:val="24"/>
          <w:szCs w:val="24"/>
        </w:rPr>
        <w:t>S</w:t>
      </w:r>
      <w:r w:rsidR="00914382">
        <w:rPr>
          <w:rFonts w:ascii="Times New Roman" w:eastAsia="Times New Roman" w:hAnsi="Times New Roman" w:cs="Times New Roman"/>
          <w:sz w:val="24"/>
          <w:szCs w:val="24"/>
        </w:rPr>
        <w:t>istema</w:t>
      </w:r>
      <w:r>
        <w:rPr>
          <w:rFonts w:ascii="Times New Roman" w:eastAsia="Times New Roman" w:hAnsi="Times New Roman" w:cs="Times New Roman"/>
          <w:sz w:val="24"/>
          <w:szCs w:val="24"/>
        </w:rPr>
        <w:t xml:space="preserve"> del </w:t>
      </w:r>
      <w:r>
        <w:rPr>
          <w:rFonts w:ascii="Times New Roman" w:eastAsia="Times New Roman" w:hAnsi="Times New Roman" w:cs="Times New Roman"/>
          <w:b/>
          <w:sz w:val="24"/>
          <w:szCs w:val="24"/>
        </w:rPr>
        <w:t>par</w:t>
      </w:r>
      <w:r>
        <w:rPr>
          <w:rFonts w:ascii="Times New Roman" w:eastAsia="Times New Roman" w:hAnsi="Times New Roman" w:cs="Times New Roman"/>
          <w:sz w:val="24"/>
          <w:szCs w:val="24"/>
        </w:rPr>
        <w:t xml:space="preserve"> de la </w:t>
      </w:r>
      <w:r>
        <w:rPr>
          <w:rFonts w:ascii="Times New Roman" w:eastAsia="Times New Roman" w:hAnsi="Times New Roman" w:cs="Times New Roman"/>
          <w:b/>
          <w:sz w:val="24"/>
          <w:szCs w:val="24"/>
        </w:rPr>
        <w:t>lista negativa</w:t>
      </w:r>
      <w:r>
        <w:rPr>
          <w:rFonts w:ascii="Times New Roman" w:eastAsia="Times New Roman" w:hAnsi="Times New Roman" w:cs="Times New Roman"/>
          <w:sz w:val="24"/>
          <w:szCs w:val="24"/>
        </w:rPr>
        <w:t>, en un plazo máximo de 1 hora, para ser ingresado a lista de excepción.</w:t>
      </w:r>
    </w:p>
    <w:p w14:paraId="324C5339" w14:textId="77777777" w:rsidR="002712EB" w:rsidRDefault="002712EB">
      <w:pPr>
        <w:widowControl w:val="0"/>
        <w:spacing w:line="276" w:lineRule="auto"/>
        <w:jc w:val="both"/>
        <w:rPr>
          <w:rFonts w:ascii="Times New Roman" w:eastAsia="Times New Roman" w:hAnsi="Times New Roman" w:cs="Times New Roman"/>
          <w:sz w:val="24"/>
          <w:szCs w:val="24"/>
        </w:rPr>
      </w:pPr>
    </w:p>
    <w:p w14:paraId="352173DF" w14:textId="77777777" w:rsidR="002712EB" w:rsidRDefault="00000000">
      <w:pPr>
        <w:widowControl w:val="0"/>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5° </w:t>
      </w:r>
    </w:p>
    <w:p w14:paraId="5F66F466" w14:textId="4909BC93"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formato de los IMEI de los pares en la información recibida y emitida por </w:t>
      </w:r>
      <w:r w:rsidR="00914382">
        <w:rPr>
          <w:rFonts w:ascii="Times New Roman" w:eastAsia="Times New Roman" w:hAnsi="Times New Roman" w:cs="Times New Roman"/>
          <w:sz w:val="24"/>
          <w:szCs w:val="24"/>
        </w:rPr>
        <w:t xml:space="preserve">el </w:t>
      </w:r>
      <w:r w:rsidR="001C543E">
        <w:rPr>
          <w:rFonts w:ascii="Times New Roman" w:eastAsia="Times New Roman" w:hAnsi="Times New Roman" w:cs="Times New Roman"/>
          <w:sz w:val="24"/>
          <w:szCs w:val="24"/>
        </w:rPr>
        <w:t>S</w:t>
      </w:r>
      <w:r w:rsidR="00914382">
        <w:rPr>
          <w:rFonts w:ascii="Times New Roman" w:eastAsia="Times New Roman" w:hAnsi="Times New Roman" w:cs="Times New Roman"/>
          <w:sz w:val="24"/>
          <w:szCs w:val="24"/>
        </w:rPr>
        <w:t>istema</w:t>
      </w:r>
      <w:r>
        <w:rPr>
          <w:rFonts w:ascii="Times New Roman" w:eastAsia="Times New Roman" w:hAnsi="Times New Roman" w:cs="Times New Roman"/>
          <w:sz w:val="24"/>
          <w:szCs w:val="24"/>
        </w:rPr>
        <w:t>, así como también los IMEI de los pares administrados por los EIR de las concesionarias, deben incluir el dígito verificador como parte integrante del IMEI, es decir, deben contemplar los 15 dígitos del IMEI.</w:t>
      </w:r>
    </w:p>
    <w:p w14:paraId="0BBAC45A" w14:textId="6E67EE69"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EIR de cada concesionario deberán mantener actualizada la lista negativa de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de</w:t>
      </w:r>
      <w:r w:rsidR="00914382">
        <w:rPr>
          <w:rFonts w:ascii="Times New Roman" w:eastAsia="Times New Roman" w:hAnsi="Times New Roman" w:cs="Times New Roman"/>
          <w:sz w:val="24"/>
          <w:szCs w:val="24"/>
        </w:rPr>
        <w:t xml:space="preserve">l </w:t>
      </w:r>
      <w:r w:rsidR="001C543E">
        <w:rPr>
          <w:rFonts w:ascii="Times New Roman" w:eastAsia="Times New Roman" w:hAnsi="Times New Roman" w:cs="Times New Roman"/>
          <w:sz w:val="24"/>
          <w:szCs w:val="24"/>
        </w:rPr>
        <w:t>S</w:t>
      </w:r>
      <w:r w:rsidR="00914382">
        <w:rPr>
          <w:rFonts w:ascii="Times New Roman" w:eastAsia="Times New Roman" w:hAnsi="Times New Roman" w:cs="Times New Roman"/>
          <w:sz w:val="24"/>
          <w:szCs w:val="24"/>
        </w:rPr>
        <w:t>istema</w:t>
      </w:r>
      <w:r>
        <w:rPr>
          <w:rFonts w:ascii="Times New Roman" w:eastAsia="Times New Roman" w:hAnsi="Times New Roman" w:cs="Times New Roman"/>
          <w:sz w:val="24"/>
          <w:szCs w:val="24"/>
        </w:rPr>
        <w:t>, en sus bases de datos, con una periodicidad no superior a 15 minutos.</w:t>
      </w:r>
    </w:p>
    <w:p w14:paraId="170B5543" w14:textId="77777777" w:rsidR="002712EB" w:rsidRDefault="002712EB">
      <w:pPr>
        <w:widowControl w:val="0"/>
        <w:spacing w:line="276" w:lineRule="auto"/>
        <w:jc w:val="both"/>
        <w:rPr>
          <w:rFonts w:ascii="Times New Roman" w:eastAsia="Times New Roman" w:hAnsi="Times New Roman" w:cs="Times New Roman"/>
          <w:sz w:val="24"/>
          <w:szCs w:val="24"/>
        </w:rPr>
      </w:pPr>
    </w:p>
    <w:p w14:paraId="28D2B765" w14:textId="77777777" w:rsidR="002712EB" w:rsidRDefault="00000000">
      <w:pPr>
        <w:widowControl w:val="0"/>
        <w:pBdr>
          <w:top w:val="nil"/>
          <w:left w:val="nil"/>
          <w:bottom w:val="nil"/>
          <w:right w:val="nil"/>
          <w:between w:val="nil"/>
        </w:pBdr>
        <w:spacing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ARTÍCULOS TRANSITORIOS: </w:t>
      </w:r>
    </w:p>
    <w:p w14:paraId="36D25F2E"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primero transitorio</w:t>
      </w:r>
      <w:r>
        <w:rPr>
          <w:rFonts w:ascii="Times New Roman" w:eastAsia="Times New Roman" w:hAnsi="Times New Roman" w:cs="Times New Roman"/>
          <w:sz w:val="24"/>
          <w:szCs w:val="24"/>
        </w:rPr>
        <w:t>. Las obligaciones de la presente Resolución entrarán en vigor 270 días corridos posteriores a su publicación en el Diario Oficial.</w:t>
      </w:r>
    </w:p>
    <w:p w14:paraId="3F9A381C" w14:textId="3463766C"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segundo transitorio. </w:t>
      </w:r>
      <w:r>
        <w:rPr>
          <w:rFonts w:ascii="Times New Roman" w:eastAsia="Times New Roman" w:hAnsi="Times New Roman" w:cs="Times New Roman"/>
          <w:sz w:val="24"/>
          <w:szCs w:val="24"/>
        </w:rPr>
        <w:t>La primera lista de observación se emitirá el día 15 del mes siguiente al inicio de operación de</w:t>
      </w:r>
      <w:r w:rsidR="00914382">
        <w:rPr>
          <w:rFonts w:ascii="Times New Roman" w:eastAsia="Times New Roman" w:hAnsi="Times New Roman" w:cs="Times New Roman"/>
          <w:sz w:val="24"/>
          <w:szCs w:val="24"/>
        </w:rPr>
        <w:t xml:space="preserve">l </w:t>
      </w:r>
      <w:r w:rsidR="001C543E">
        <w:rPr>
          <w:rFonts w:ascii="Times New Roman" w:eastAsia="Times New Roman" w:hAnsi="Times New Roman" w:cs="Times New Roman"/>
          <w:sz w:val="24"/>
          <w:szCs w:val="24"/>
        </w:rPr>
        <w:t>S</w:t>
      </w:r>
      <w:r w:rsidR="00914382">
        <w:rPr>
          <w:rFonts w:ascii="Times New Roman" w:eastAsia="Times New Roman" w:hAnsi="Times New Roman" w:cs="Times New Roman"/>
          <w:sz w:val="24"/>
          <w:szCs w:val="24"/>
        </w:rPr>
        <w:t>istema</w:t>
      </w:r>
      <w:r>
        <w:rPr>
          <w:rFonts w:ascii="Times New Roman" w:eastAsia="Times New Roman" w:hAnsi="Times New Roman" w:cs="Times New Roman"/>
          <w:sz w:val="24"/>
          <w:szCs w:val="24"/>
        </w:rPr>
        <w:t>, con la información que se encuentre disponible.</w:t>
      </w:r>
    </w:p>
    <w:p w14:paraId="1A676031" w14:textId="465EFC39"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tercero transitorio.</w:t>
      </w:r>
      <w:r>
        <w:rPr>
          <w:rFonts w:ascii="Times New Roman" w:eastAsia="Times New Roman" w:hAnsi="Times New Roman" w:cs="Times New Roman"/>
          <w:sz w:val="24"/>
          <w:szCs w:val="24"/>
        </w:rPr>
        <w:t xml:space="preserve"> El </w:t>
      </w:r>
      <w:r w:rsidR="001C543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istema centralizado debe disponer de una lista inicial con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que estén excluidos del proceso dispuesto en el artículo 2° a que se refiere esta norma. Para tal efecto, al inicio de la aplicación de esta normativa, y por una única vez, todas las concesionarias de servicios móviles deberán hacer un levantamiento de los </w:t>
      </w:r>
      <w:r>
        <w:rPr>
          <w:rFonts w:ascii="Times New Roman" w:eastAsia="Times New Roman" w:hAnsi="Times New Roman" w:cs="Times New Roman"/>
          <w:b/>
          <w:sz w:val="24"/>
          <w:szCs w:val="24"/>
        </w:rPr>
        <w:t>pares</w:t>
      </w:r>
      <w:r>
        <w:rPr>
          <w:rFonts w:ascii="Times New Roman" w:eastAsia="Times New Roman" w:hAnsi="Times New Roman" w:cs="Times New Roman"/>
          <w:sz w:val="24"/>
          <w:szCs w:val="24"/>
        </w:rPr>
        <w:t xml:space="preserve"> únicos que han traficado en sus redes en los últimos 60 meses e incorporarlos a la </w:t>
      </w:r>
      <w:r>
        <w:rPr>
          <w:rFonts w:ascii="Times New Roman" w:eastAsia="Times New Roman" w:hAnsi="Times New Roman" w:cs="Times New Roman"/>
          <w:b/>
          <w:sz w:val="24"/>
          <w:szCs w:val="24"/>
        </w:rPr>
        <w:t xml:space="preserve">lista de excepción </w:t>
      </w:r>
      <w:r>
        <w:rPr>
          <w:rFonts w:ascii="Times New Roman" w:eastAsia="Times New Roman" w:hAnsi="Times New Roman" w:cs="Times New Roman"/>
          <w:sz w:val="24"/>
          <w:szCs w:val="24"/>
        </w:rPr>
        <w:t xml:space="preserve">de pares en </w:t>
      </w:r>
      <w:r w:rsidR="00914382">
        <w:rPr>
          <w:rFonts w:ascii="Times New Roman" w:eastAsia="Times New Roman" w:hAnsi="Times New Roman" w:cs="Times New Roman"/>
          <w:sz w:val="24"/>
          <w:szCs w:val="24"/>
        </w:rPr>
        <w:t xml:space="preserve">el </w:t>
      </w:r>
      <w:r w:rsidR="001C543E">
        <w:rPr>
          <w:rFonts w:ascii="Times New Roman" w:eastAsia="Times New Roman" w:hAnsi="Times New Roman" w:cs="Times New Roman"/>
          <w:sz w:val="24"/>
          <w:szCs w:val="24"/>
        </w:rPr>
        <w:t>S</w:t>
      </w:r>
      <w:r w:rsidR="00914382">
        <w:rPr>
          <w:rFonts w:ascii="Times New Roman" w:eastAsia="Times New Roman" w:hAnsi="Times New Roman" w:cs="Times New Roman"/>
          <w:sz w:val="24"/>
          <w:szCs w:val="24"/>
        </w:rPr>
        <w:t>istema</w:t>
      </w:r>
      <w:r>
        <w:rPr>
          <w:rFonts w:ascii="Times New Roman" w:eastAsia="Times New Roman" w:hAnsi="Times New Roman" w:cs="Times New Roman"/>
          <w:sz w:val="24"/>
          <w:szCs w:val="24"/>
        </w:rPr>
        <w:t>, con una marca distintiva.</w:t>
      </w:r>
    </w:p>
    <w:p w14:paraId="0AE1FF5C" w14:textId="77777777" w:rsidR="002712EB" w:rsidRDefault="002712EB">
      <w:pPr>
        <w:widowControl w:val="0"/>
        <w:spacing w:line="276" w:lineRule="auto"/>
        <w:jc w:val="both"/>
        <w:rPr>
          <w:rFonts w:ascii="Times New Roman" w:eastAsia="Times New Roman" w:hAnsi="Times New Roman" w:cs="Times New Roman"/>
          <w:sz w:val="24"/>
          <w:szCs w:val="24"/>
        </w:rPr>
      </w:pPr>
    </w:p>
    <w:p w14:paraId="1B0E31CF" w14:textId="77777777" w:rsidR="002712EB" w:rsidRDefault="00000000">
      <w:pPr>
        <w:widowControl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--- 0 ---</w:t>
      </w:r>
    </w:p>
    <w:p w14:paraId="0A998D52" w14:textId="77777777" w:rsidR="002712EB" w:rsidRDefault="002712EB">
      <w:pPr>
        <w:widowControl w:val="0"/>
        <w:spacing w:line="276" w:lineRule="auto"/>
        <w:jc w:val="both"/>
        <w:rPr>
          <w:rFonts w:ascii="Times New Roman" w:eastAsia="Times New Roman" w:hAnsi="Times New Roman" w:cs="Times New Roman"/>
          <w:sz w:val="24"/>
          <w:szCs w:val="24"/>
        </w:rPr>
      </w:pPr>
    </w:p>
    <w:p w14:paraId="3FCF4254" w14:textId="77777777" w:rsidR="002712EB" w:rsidRDefault="002712EB">
      <w:pPr>
        <w:widowControl w:val="0"/>
        <w:spacing w:line="276" w:lineRule="auto"/>
        <w:jc w:val="both"/>
        <w:rPr>
          <w:rFonts w:ascii="Times New Roman" w:eastAsia="Times New Roman" w:hAnsi="Times New Roman" w:cs="Times New Roman"/>
          <w:sz w:val="24"/>
          <w:szCs w:val="24"/>
        </w:rPr>
      </w:pPr>
    </w:p>
    <w:p w14:paraId="0D306B8F" w14:textId="77777777" w:rsidR="002712EB" w:rsidRDefault="00000000">
      <w:pPr>
        <w:widowControl w:val="0"/>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w:t>
      </w:r>
    </w:p>
    <w:p w14:paraId="159AF4AA" w14:textId="77777777" w:rsidR="002712EB" w:rsidRDefault="00000000">
      <w:pPr>
        <w:widowControl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Declaración Jurada</w:t>
      </w:r>
    </w:p>
    <w:p w14:paraId="74A8DB92" w14:textId="77777777" w:rsidR="002712EB" w:rsidRDefault="0000000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 ________, RUT _________, domiciliado en ________, </w:t>
      </w:r>
      <w:r>
        <w:rPr>
          <w:rFonts w:ascii="Times New Roman" w:eastAsia="Times New Roman" w:hAnsi="Times New Roman" w:cs="Times New Roman"/>
          <w:i/>
          <w:sz w:val="24"/>
          <w:szCs w:val="24"/>
        </w:rPr>
        <w:t xml:space="preserve">declaro bajo juramento que cuento con un justo título que habilita el uso del equipo con IMEI </w:t>
      </w:r>
      <w:r>
        <w:rPr>
          <w:rFonts w:ascii="Times New Roman" w:eastAsia="Times New Roman" w:hAnsi="Times New Roman" w:cs="Times New Roman"/>
          <w:sz w:val="24"/>
          <w:szCs w:val="24"/>
        </w:rPr>
        <w:t>[XXXXX]</w:t>
      </w:r>
      <w:r>
        <w:rPr>
          <w:rFonts w:ascii="Times New Roman" w:eastAsia="Times New Roman" w:hAnsi="Times New Roman" w:cs="Times New Roman"/>
          <w:i/>
          <w:sz w:val="24"/>
          <w:szCs w:val="24"/>
        </w:rPr>
        <w:t xml:space="preserve"> y que conozco las sanciones por adulterar o modificar el IMEI de un equipo móvil establecidas en el artículo 36 B, literal h) de la Ley General de Telecomunicaciones que consisten en presidio menor en su grado mínimo y multa entre 11 a 15 unidades tributarias anuales</w:t>
      </w:r>
      <w:r>
        <w:rPr>
          <w:rFonts w:ascii="Times New Roman" w:eastAsia="Times New Roman" w:hAnsi="Times New Roman" w:cs="Times New Roman"/>
          <w:sz w:val="24"/>
          <w:szCs w:val="24"/>
        </w:rPr>
        <w:t>”.</w:t>
      </w:r>
    </w:p>
    <w:p w14:paraId="0CFC6AA0" w14:textId="77777777" w:rsidR="002712EB" w:rsidRDefault="002712EB">
      <w:pPr>
        <w:widowControl w:val="0"/>
        <w:spacing w:line="276" w:lineRule="auto"/>
        <w:jc w:val="center"/>
        <w:rPr>
          <w:rFonts w:ascii="Times New Roman" w:eastAsia="Times New Roman" w:hAnsi="Times New Roman" w:cs="Times New Roman"/>
          <w:sz w:val="24"/>
          <w:szCs w:val="24"/>
        </w:rPr>
      </w:pPr>
    </w:p>
    <w:sectPr w:rsidR="002712E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17000"/>
    <w:multiLevelType w:val="multilevel"/>
    <w:tmpl w:val="191E125E"/>
    <w:lvl w:ilvl="0">
      <w:start w:val="1"/>
      <w:numFmt w:val="decimal"/>
      <w:lvlText w:val="%1)"/>
      <w:lvlJc w:val="left"/>
      <w:pPr>
        <w:ind w:left="4188" w:hanging="360"/>
      </w:pPr>
      <w:rPr>
        <w:rFonts w:ascii="Times New Roman" w:eastAsia="Times New Roman" w:hAnsi="Times New Roman" w:cs="Times New Roman"/>
        <w:b/>
        <w:sz w:val="24"/>
        <w:szCs w:val="24"/>
        <w:u w:val="none"/>
      </w:rPr>
    </w:lvl>
    <w:lvl w:ilvl="1">
      <w:numFmt w:val="bullet"/>
      <w:lvlText w:val="•"/>
      <w:lvlJc w:val="left"/>
      <w:pPr>
        <w:ind w:left="5520" w:hanging="360"/>
      </w:pPr>
    </w:lvl>
    <w:lvl w:ilvl="2">
      <w:numFmt w:val="bullet"/>
      <w:lvlText w:val="•"/>
      <w:lvlJc w:val="left"/>
      <w:pPr>
        <w:ind w:left="6372" w:hanging="360"/>
      </w:pPr>
    </w:lvl>
    <w:lvl w:ilvl="3">
      <w:numFmt w:val="bullet"/>
      <w:lvlText w:val="•"/>
      <w:lvlJc w:val="left"/>
      <w:pPr>
        <w:ind w:left="7224" w:hanging="360"/>
      </w:pPr>
    </w:lvl>
    <w:lvl w:ilvl="4">
      <w:numFmt w:val="bullet"/>
      <w:lvlText w:val="•"/>
      <w:lvlJc w:val="left"/>
      <w:pPr>
        <w:ind w:left="8076" w:hanging="360"/>
      </w:pPr>
    </w:lvl>
    <w:lvl w:ilvl="5">
      <w:numFmt w:val="bullet"/>
      <w:lvlText w:val="•"/>
      <w:lvlJc w:val="left"/>
      <w:pPr>
        <w:ind w:left="8928" w:hanging="360"/>
      </w:pPr>
    </w:lvl>
    <w:lvl w:ilvl="6">
      <w:numFmt w:val="bullet"/>
      <w:lvlText w:val="•"/>
      <w:lvlJc w:val="left"/>
      <w:pPr>
        <w:ind w:left="9780" w:hanging="360"/>
      </w:pPr>
    </w:lvl>
    <w:lvl w:ilvl="7">
      <w:numFmt w:val="bullet"/>
      <w:lvlText w:val="•"/>
      <w:lvlJc w:val="left"/>
      <w:pPr>
        <w:ind w:left="10632" w:hanging="360"/>
      </w:pPr>
    </w:lvl>
    <w:lvl w:ilvl="8">
      <w:numFmt w:val="bullet"/>
      <w:lvlText w:val="•"/>
      <w:lvlJc w:val="left"/>
      <w:pPr>
        <w:ind w:left="11484" w:hanging="360"/>
      </w:pPr>
    </w:lvl>
  </w:abstractNum>
  <w:abstractNum w:abstractNumId="1" w15:restartNumberingAfterBreak="0">
    <w:nsid w:val="4BA11A9F"/>
    <w:multiLevelType w:val="multilevel"/>
    <w:tmpl w:val="F1B43A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1CE6CE4"/>
    <w:multiLevelType w:val="multilevel"/>
    <w:tmpl w:val="4912C744"/>
    <w:lvl w:ilvl="0">
      <w:start w:val="1"/>
      <w:numFmt w:val="lowerRoman"/>
      <w:lvlText w:val="%1."/>
      <w:lvlJc w:val="righ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65366622">
    <w:abstractNumId w:val="1"/>
  </w:num>
  <w:num w:numId="2" w16cid:durableId="1658606479">
    <w:abstractNumId w:val="0"/>
  </w:num>
  <w:num w:numId="3" w16cid:durableId="818545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EB"/>
    <w:rsid w:val="000475B9"/>
    <w:rsid w:val="001C543E"/>
    <w:rsid w:val="002359CB"/>
    <w:rsid w:val="002712EB"/>
    <w:rsid w:val="003C060F"/>
    <w:rsid w:val="003C174B"/>
    <w:rsid w:val="004D5379"/>
    <w:rsid w:val="00501806"/>
    <w:rsid w:val="00510263"/>
    <w:rsid w:val="00802AF0"/>
    <w:rsid w:val="00914382"/>
    <w:rsid w:val="00935761"/>
    <w:rsid w:val="00AB4D5D"/>
    <w:rsid w:val="00B00C2B"/>
    <w:rsid w:val="00D21924"/>
    <w:rsid w:val="00D2789D"/>
    <w:rsid w:val="00E901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12B8"/>
  <w15:docId w15:val="{4A7ED865-FB0A-4FE6-9DA9-69003D76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rrafodelista">
    <w:name w:val="List Paragraph"/>
    <w:basedOn w:val="Normal"/>
    <w:uiPriority w:val="34"/>
    <w:qFormat/>
    <w:rsid w:val="00EA2CB6"/>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223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47EF7"/>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015338"/>
    <w:rPr>
      <w:sz w:val="16"/>
      <w:szCs w:val="16"/>
    </w:rPr>
  </w:style>
  <w:style w:type="paragraph" w:styleId="Textocomentario">
    <w:name w:val="annotation text"/>
    <w:basedOn w:val="Normal"/>
    <w:link w:val="TextocomentarioCar"/>
    <w:uiPriority w:val="99"/>
    <w:unhideWhenUsed/>
    <w:rsid w:val="00015338"/>
    <w:pPr>
      <w:spacing w:line="240" w:lineRule="auto"/>
    </w:pPr>
    <w:rPr>
      <w:sz w:val="20"/>
      <w:szCs w:val="20"/>
    </w:rPr>
  </w:style>
  <w:style w:type="character" w:customStyle="1" w:styleId="TextocomentarioCar">
    <w:name w:val="Texto comentario Car"/>
    <w:basedOn w:val="Fuentedeprrafopredeter"/>
    <w:link w:val="Textocomentario"/>
    <w:uiPriority w:val="99"/>
    <w:rsid w:val="00015338"/>
    <w:rPr>
      <w:sz w:val="20"/>
      <w:szCs w:val="20"/>
    </w:rPr>
  </w:style>
  <w:style w:type="paragraph" w:styleId="Asuntodelcomentario">
    <w:name w:val="annotation subject"/>
    <w:basedOn w:val="Textocomentario"/>
    <w:next w:val="Textocomentario"/>
    <w:link w:val="AsuntodelcomentarioCar"/>
    <w:uiPriority w:val="99"/>
    <w:semiHidden/>
    <w:unhideWhenUsed/>
    <w:rsid w:val="00015338"/>
    <w:rPr>
      <w:b/>
      <w:bCs/>
    </w:rPr>
  </w:style>
  <w:style w:type="character" w:customStyle="1" w:styleId="AsuntodelcomentarioCar">
    <w:name w:val="Asunto del comentario Car"/>
    <w:basedOn w:val="TextocomentarioCar"/>
    <w:link w:val="Asuntodelcomentario"/>
    <w:uiPriority w:val="99"/>
    <w:semiHidden/>
    <w:rsid w:val="00015338"/>
    <w:rPr>
      <w:b/>
      <w:bCs/>
      <w:sz w:val="20"/>
      <w:szCs w:val="20"/>
    </w:r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1C26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6FC"/>
    <w:rPr>
      <w:rFonts w:ascii="Tahoma" w:hAnsi="Tahoma" w:cs="Tahoma"/>
      <w:sz w:val="16"/>
      <w:szCs w:val="16"/>
    </w:rPr>
  </w:style>
  <w:style w:type="character" w:styleId="Hipervnculo">
    <w:name w:val="Hyperlink"/>
    <w:basedOn w:val="Fuentedeprrafopredeter"/>
    <w:uiPriority w:val="99"/>
    <w:unhideWhenUsed/>
    <w:rsid w:val="00996F8F"/>
    <w:rPr>
      <w:color w:val="0563C1" w:themeColor="hyperlink"/>
      <w:u w:val="single"/>
    </w:rPr>
  </w:style>
  <w:style w:type="paragraph" w:styleId="Revisin">
    <w:name w:val="Revision"/>
    <w:hidden/>
    <w:uiPriority w:val="99"/>
    <w:semiHidden/>
    <w:rsid w:val="003D4C05"/>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uHhFk6wsNUrcIdiAMCaTZWLlg==">CgMxLjAyCGguZ2pkZ3hzMgloLjMwajB6bGw4AGpLCjVzdWdnZXN0SWRJbXBvcnQyZGQxOGZmZi05MGY5LTQ5M2ItYjFjMi02NmZjNmVmYTVjMTlfMRISQWd1c3TDrW4gR29uesOhbGV6ciExZFp0ZFRZVXR4eHRhelVzUnhZcE82ZEhkWGRGeldIcXQ=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1657</Words>
  <Characters>9114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Subtel Subtel</dc:creator>
  <cp:lastModifiedBy>Agustín González</cp:lastModifiedBy>
  <cp:revision>5</cp:revision>
  <dcterms:created xsi:type="dcterms:W3CDTF">2025-09-22T14:37:00Z</dcterms:created>
  <dcterms:modified xsi:type="dcterms:W3CDTF">2025-09-23T13:42:00Z</dcterms:modified>
</cp:coreProperties>
</file>