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79DE" w:rsidRDefault="00000000">
      <w:pPr>
        <w:jc w:val="center"/>
        <w:rPr>
          <w:b/>
        </w:rPr>
      </w:pPr>
      <w:r>
        <w:rPr>
          <w:b/>
        </w:rPr>
        <w:t>CONSULTA CIUDADANA</w:t>
      </w:r>
    </w:p>
    <w:p w14:paraId="00000002" w14:textId="77777777" w:rsidR="008979DE" w:rsidRDefault="00000000">
      <w:pPr>
        <w:ind w:left="1843" w:right="1134"/>
        <w:jc w:val="center"/>
        <w:rPr>
          <w:b/>
          <w:u w:val="single"/>
        </w:rPr>
      </w:pPr>
      <w:r>
        <w:rPr>
          <w:b/>
          <w:u w:val="single"/>
        </w:rPr>
        <w:t>Norma técnica que regula el sistema de bloqueo efectivo de los dispositivos robados, hurtados o extraviados</w:t>
      </w:r>
    </w:p>
    <w:p w14:paraId="00000003" w14:textId="77777777" w:rsidR="008979DE" w:rsidRDefault="00000000">
      <w:pPr>
        <w:jc w:val="both"/>
        <w:rPr>
          <w:b/>
        </w:rPr>
      </w:pPr>
      <w:r>
        <w:rPr>
          <w:b/>
        </w:rPr>
        <w:t>Introducción</w:t>
      </w:r>
    </w:p>
    <w:p w14:paraId="00000004" w14:textId="77777777" w:rsidR="008979DE" w:rsidRDefault="00000000">
      <w:pPr>
        <w:jc w:val="both"/>
      </w:pPr>
      <w:r>
        <w:t xml:space="preserve">Según establece la Ley N° 21.729, que modificó la Ley N° 18.168, General de Telecomunicaciones, introduciendo, entre otros, el artículo 26 quinquies, las concesionarias de servicio público telefónico y de transmisión de datos deberán financiar un sistema que permita el bloqueo efectivo de los dispositivos robados, hurtados o extraviados. </w:t>
      </w:r>
    </w:p>
    <w:p w14:paraId="00000005" w14:textId="77777777" w:rsidR="008979DE" w:rsidRDefault="00000000">
      <w:pPr>
        <w:jc w:val="both"/>
      </w:pPr>
      <w:r>
        <w:t>Lo anterior en el contexto de enfrentar que se ha detectado que, frente al bloqueo de un equipo terminal, existe la práctica de adulterar su IMEI utilizando otro IMEI con formato inválido o uno ya registrado en la red, con el objetivo de burlar dicho bloqueo. Resulta así necesario implementar un sistema para la detección de estos casos, mediante las validaciones que permita la tecnología y de acuerdo también con estándares internacionales, con la finalidad de lograr un bloqueo efectivo de los mismos.</w:t>
      </w:r>
    </w:p>
    <w:p w14:paraId="00000006" w14:textId="77777777" w:rsidR="008979DE" w:rsidRDefault="00000000">
      <w:pPr>
        <w:jc w:val="both"/>
      </w:pPr>
      <w:r>
        <w:t>Ahora bien, la Ley antes mencionada mandató a esta Subsecretaría a la elaboración de una normativa técnica que defina, entre otros, los mecanismos, condiciones o requisitos que deberá cumplir este sistema y, en este contexto, el presente formulario da espacio para que usted realice sus comentarios sobre cada uno de las secciones de este borrador normativo.</w:t>
      </w:r>
    </w:p>
    <w:p w14:paraId="00000007" w14:textId="77777777" w:rsidR="008979DE" w:rsidRDefault="00000000">
      <w:pPr>
        <w:jc w:val="both"/>
        <w:rPr>
          <w:b/>
        </w:rPr>
      </w:pPr>
      <w:r>
        <w:rPr>
          <w:b/>
        </w:rPr>
        <w:t>Objetivo</w:t>
      </w:r>
    </w:p>
    <w:p w14:paraId="00000008" w14:textId="77777777" w:rsidR="008979DE" w:rsidRDefault="00000000">
      <w:pPr>
        <w:jc w:val="both"/>
      </w:pPr>
      <w:r>
        <w:t>El objeto de esta consulta pública es recoger antecedentes, apreciaciones y opiniones de la industria, la comunidad académica, la sociedad civil, y cualquier otro grupo de interés, en torno a la propuesta de norma para regular un sistema de bloqueo efectivo de los dispositivos robados, hurtados o extraviados.</w:t>
      </w:r>
    </w:p>
    <w:p w14:paraId="00000009" w14:textId="77777777" w:rsidR="008979DE" w:rsidRDefault="00000000">
      <w:pPr>
        <w:jc w:val="both"/>
        <w:rPr>
          <w:b/>
        </w:rPr>
      </w:pPr>
      <w:r>
        <w:rPr>
          <w:b/>
        </w:rPr>
        <w:t>Consulta</w:t>
      </w:r>
    </w:p>
    <w:p w14:paraId="0000000A" w14:textId="77777777" w:rsidR="008979DE" w:rsidRDefault="00000000">
      <w:pPr>
        <w:jc w:val="both"/>
      </w:pPr>
      <w:r>
        <w:t xml:space="preserve">Para esta consulta, se ha compartido el borrador de la norma técnica que regula el sistema de bloqueo efectivo de los dispositivos robados, hurtados o extraviados en el siguiente enlace:  </w:t>
      </w:r>
      <w:hyperlink r:id="rId5">
        <w:r>
          <w:rPr>
            <w:color w:val="0563C1"/>
            <w:u w:val="single"/>
          </w:rPr>
          <w:t>https://www.subtel.gob.cl/participacion-ciudadana/consultas-ciudadanas/</w:t>
        </w:r>
      </w:hyperlink>
      <w:r>
        <w:t>.</w:t>
      </w:r>
    </w:p>
    <w:p w14:paraId="0000000B" w14:textId="09A338BD" w:rsidR="008979DE" w:rsidRDefault="00000000">
      <w:pPr>
        <w:jc w:val="both"/>
      </w:pPr>
      <w:r>
        <w:t xml:space="preserve">Además, se creó un formulario en línea para que los diferentes grupos de interés puedan realizar sus observaciones a cada uno de los artículos y artículos transitorios de la propuesta de norma que ha trabajado la Subsecretaría. Éste último puede accederse en: </w:t>
      </w:r>
      <w:hyperlink r:id="rId6" w:history="1">
        <w:r w:rsidR="00E762EA" w:rsidRPr="00E20DC1">
          <w:rPr>
            <w:rStyle w:val="Hipervnculo"/>
          </w:rPr>
          <w:t>https://forms.gle/r3gjNwZaSRrhH1Rd7</w:t>
        </w:r>
      </w:hyperlink>
      <w:r>
        <w:t>.</w:t>
      </w:r>
    </w:p>
    <w:p w14:paraId="0000000C" w14:textId="77777777" w:rsidR="008979DE" w:rsidRDefault="00000000">
      <w:pPr>
        <w:jc w:val="both"/>
      </w:pPr>
      <w:r>
        <w:t>Este paso subraya el compromiso de la Subsecretaría por desarrollar procesos regulatorios transparentes y participativos, con miras a enriquecer y perfeccionar la regulación.</w:t>
      </w:r>
    </w:p>
    <w:sectPr w:rsidR="008979DE">
      <w:pgSz w:w="12240" w:h="15840"/>
      <w:pgMar w:top="1135"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DE"/>
    <w:rsid w:val="008979DE"/>
    <w:rsid w:val="00D21942"/>
    <w:rsid w:val="00E762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9438"/>
  <w15:docId w15:val="{3473295D-7F6F-4248-97E1-0F4E365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L" w:eastAsia="es-C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0B7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7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7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ar">
    <w:name w:val="Título 1 Car"/>
    <w:basedOn w:val="Fuentedeprrafopredeter"/>
    <w:uiPriority w:val="9"/>
    <w:rsid w:val="000B71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0B71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0B7155"/>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0B7155"/>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0B7155"/>
    <w:rPr>
      <w:rFonts w:eastAsiaTheme="majorEastAsia" w:cstheme="majorBidi"/>
      <w:color w:val="2F5496" w:themeColor="accent1" w:themeShade="BF"/>
    </w:rPr>
  </w:style>
  <w:style w:type="character" w:customStyle="1" w:styleId="Ttulo6Car">
    <w:name w:val="Título 6 Car"/>
    <w:basedOn w:val="Fuentedeprrafopredeter"/>
    <w:uiPriority w:val="9"/>
    <w:semiHidden/>
    <w:rsid w:val="000B7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7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7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7155"/>
    <w:rPr>
      <w:rFonts w:eastAsiaTheme="majorEastAsia" w:cstheme="majorBidi"/>
      <w:color w:val="272727" w:themeColor="text1" w:themeTint="D8"/>
    </w:rPr>
  </w:style>
  <w:style w:type="character" w:customStyle="1" w:styleId="TtuloCar">
    <w:name w:val="Título Car"/>
    <w:basedOn w:val="Fuentedeprrafopredeter"/>
    <w:uiPriority w:val="10"/>
    <w:rsid w:val="000B7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B7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7155"/>
    <w:pPr>
      <w:spacing w:before="160"/>
      <w:jc w:val="center"/>
    </w:pPr>
    <w:rPr>
      <w:i/>
      <w:iCs/>
      <w:color w:val="404040" w:themeColor="text1" w:themeTint="BF"/>
    </w:rPr>
  </w:style>
  <w:style w:type="character" w:customStyle="1" w:styleId="CitaCar">
    <w:name w:val="Cita Car"/>
    <w:basedOn w:val="Fuentedeprrafopredeter"/>
    <w:link w:val="Cita"/>
    <w:uiPriority w:val="29"/>
    <w:rsid w:val="000B7155"/>
    <w:rPr>
      <w:i/>
      <w:iCs/>
      <w:color w:val="404040" w:themeColor="text1" w:themeTint="BF"/>
    </w:rPr>
  </w:style>
  <w:style w:type="paragraph" w:styleId="Prrafodelista">
    <w:name w:val="List Paragraph"/>
    <w:basedOn w:val="Normal"/>
    <w:uiPriority w:val="34"/>
    <w:qFormat/>
    <w:rsid w:val="000B7155"/>
    <w:pPr>
      <w:ind w:left="720"/>
      <w:contextualSpacing/>
    </w:pPr>
  </w:style>
  <w:style w:type="character" w:styleId="nfasisintenso">
    <w:name w:val="Intense Emphasis"/>
    <w:basedOn w:val="Fuentedeprrafopredeter"/>
    <w:uiPriority w:val="21"/>
    <w:qFormat/>
    <w:rsid w:val="000B7155"/>
    <w:rPr>
      <w:i/>
      <w:iCs/>
      <w:color w:val="2F5496" w:themeColor="accent1" w:themeShade="BF"/>
    </w:rPr>
  </w:style>
  <w:style w:type="paragraph" w:styleId="Citadestacada">
    <w:name w:val="Intense Quote"/>
    <w:basedOn w:val="Normal"/>
    <w:next w:val="Normal"/>
    <w:link w:val="CitadestacadaCar"/>
    <w:uiPriority w:val="30"/>
    <w:qFormat/>
    <w:rsid w:val="000B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B7155"/>
    <w:rPr>
      <w:i/>
      <w:iCs/>
      <w:color w:val="2F5496" w:themeColor="accent1" w:themeShade="BF"/>
    </w:rPr>
  </w:style>
  <w:style w:type="character" w:styleId="Referenciaintensa">
    <w:name w:val="Intense Reference"/>
    <w:basedOn w:val="Fuentedeprrafopredeter"/>
    <w:uiPriority w:val="32"/>
    <w:qFormat/>
    <w:rsid w:val="000B7155"/>
    <w:rPr>
      <w:b/>
      <w:bCs/>
      <w:smallCaps/>
      <w:color w:val="2F5496" w:themeColor="accent1" w:themeShade="BF"/>
      <w:spacing w:val="5"/>
    </w:rPr>
  </w:style>
  <w:style w:type="character" w:styleId="Hipervnculo">
    <w:name w:val="Hyperlink"/>
    <w:basedOn w:val="Fuentedeprrafopredeter"/>
    <w:uiPriority w:val="99"/>
    <w:unhideWhenUsed/>
    <w:rsid w:val="00CD0FCC"/>
    <w:rPr>
      <w:color w:val="0563C1" w:themeColor="hyperlink"/>
      <w:u w:val="single"/>
    </w:rPr>
  </w:style>
  <w:style w:type="character" w:styleId="Mencinsinresolver">
    <w:name w:val="Unresolved Mention"/>
    <w:basedOn w:val="Fuentedeprrafopredeter"/>
    <w:uiPriority w:val="99"/>
    <w:semiHidden/>
    <w:unhideWhenUsed/>
    <w:rsid w:val="00CD0FCC"/>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gle/r3gjNwZaSRrhH1Rd7" TargetMode="External"/><Relationship Id="rId5" Type="http://schemas.openxmlformats.org/officeDocument/2006/relationships/hyperlink" Target="https://www.subtel.gob.cl/participacion-ciudadana/consultas-ciudadan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rCn4AYv1ML76AUhq48qoE3VQ==">CgMxLjA4AGo2ChNzdWdnZXN0LnQ4cmc1anh2YmNuEh9GcmFuY2lzY2EgSmF2aWVyYSBNb25yZWFsIEFyY2lsciExc0VPdE1Ka3BqWGZ0V3F1TDdMdkQ3b0s5dDJlcTlvekQ=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2156</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Agustín González</dc:creator>
  <cp:lastModifiedBy>Agustín González</cp:lastModifiedBy>
  <cp:revision>2</cp:revision>
  <dcterms:created xsi:type="dcterms:W3CDTF">2025-09-16T14:00:00Z</dcterms:created>
  <dcterms:modified xsi:type="dcterms:W3CDTF">2025-09-16T17:50:00Z</dcterms:modified>
</cp:coreProperties>
</file>