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F0B8" w14:textId="77777777" w:rsidR="001B1C68" w:rsidRDefault="001B1C68" w:rsidP="001B1C68">
      <w:pPr>
        <w:autoSpaceDE w:val="0"/>
        <w:spacing w:after="0" w:line="300" w:lineRule="auto"/>
        <w:rPr>
          <w:rFonts w:ascii="Calibri" w:hAnsi="Calibri"/>
          <w:szCs w:val="24"/>
        </w:rPr>
      </w:pPr>
    </w:p>
    <w:p w14:paraId="1C5FC97E" w14:textId="77777777" w:rsidR="009B7359" w:rsidRDefault="009B7359" w:rsidP="009B7359">
      <w:pPr>
        <w:pStyle w:val="Ttulo"/>
        <w:jc w:val="center"/>
      </w:pPr>
    </w:p>
    <w:p w14:paraId="21C1A9FC" w14:textId="77777777" w:rsidR="009B7359" w:rsidRDefault="009B7359" w:rsidP="009B7359">
      <w:pPr>
        <w:pStyle w:val="Ttulo"/>
        <w:jc w:val="center"/>
      </w:pPr>
    </w:p>
    <w:p w14:paraId="1DA2FFC4" w14:textId="77777777" w:rsidR="009B7359" w:rsidRDefault="009B7359" w:rsidP="009B7359">
      <w:pPr>
        <w:pStyle w:val="Ttulo"/>
        <w:jc w:val="center"/>
      </w:pPr>
    </w:p>
    <w:p w14:paraId="113AC62B" w14:textId="77777777" w:rsidR="009B7359" w:rsidRDefault="009B7359" w:rsidP="009B7359">
      <w:pPr>
        <w:pStyle w:val="Ttulo"/>
        <w:jc w:val="center"/>
      </w:pPr>
    </w:p>
    <w:p w14:paraId="16D1096F" w14:textId="77777777" w:rsidR="009B7359" w:rsidRDefault="009B7359" w:rsidP="00C36100">
      <w:pPr>
        <w:pStyle w:val="Ttulo"/>
        <w:ind w:firstLine="0"/>
        <w:jc w:val="center"/>
      </w:pPr>
      <w:r>
        <w:t xml:space="preserve">Bases Económicas </w:t>
      </w:r>
    </w:p>
    <w:p w14:paraId="6C63A86F" w14:textId="77777777" w:rsidR="009B7359" w:rsidRDefault="009B7359" w:rsidP="00C36100">
      <w:pPr>
        <w:pStyle w:val="Ttulo"/>
        <w:ind w:firstLine="0"/>
        <w:jc w:val="center"/>
      </w:pPr>
      <w:r>
        <w:t>Licitación para la Contratación</w:t>
      </w:r>
    </w:p>
    <w:p w14:paraId="4641A49B" w14:textId="77777777" w:rsidR="009B7359" w:rsidRDefault="009B7359" w:rsidP="00C36100">
      <w:pPr>
        <w:pStyle w:val="Ttulo"/>
        <w:ind w:firstLine="0"/>
        <w:jc w:val="center"/>
      </w:pPr>
      <w:r>
        <w:t>Organismo Administrador</w:t>
      </w:r>
    </w:p>
    <w:p w14:paraId="5F54B8EE" w14:textId="77777777" w:rsidR="009B7359" w:rsidRPr="009B7359" w:rsidRDefault="009B7359" w:rsidP="00C36100">
      <w:pPr>
        <w:pStyle w:val="Ttulo"/>
        <w:ind w:firstLine="0"/>
        <w:jc w:val="center"/>
      </w:pPr>
      <w:r>
        <w:t xml:space="preserve">de la Portabilidad </w:t>
      </w:r>
      <w:r w:rsidR="00287ECE">
        <w:t xml:space="preserve">Numérica </w:t>
      </w:r>
      <w:r>
        <w:t>en Chile</w:t>
      </w:r>
    </w:p>
    <w:p w14:paraId="50476E82" w14:textId="1CD6796F" w:rsidR="000B5C83" w:rsidRDefault="000B5C83" w:rsidP="000B5C83">
      <w:pPr>
        <w:spacing w:after="120"/>
        <w:jc w:val="center"/>
        <w:rPr>
          <w:rFonts w:ascii="Cambria" w:eastAsia="MS Gothic" w:hAnsi="Cambria"/>
          <w:color w:val="17365D"/>
          <w:spacing w:val="5"/>
          <w:kern w:val="28"/>
          <w:sz w:val="44"/>
          <w:szCs w:val="44"/>
        </w:rPr>
      </w:pPr>
    </w:p>
    <w:p w14:paraId="184A61C4" w14:textId="3DD9B7A7" w:rsidR="009B7359" w:rsidRDefault="000B5C83" w:rsidP="0008142F">
      <w:pPr>
        <w:spacing w:after="120"/>
        <w:ind w:firstLine="0"/>
        <w:jc w:val="center"/>
        <w:rPr>
          <w:b/>
          <w:sz w:val="28"/>
        </w:rPr>
      </w:pPr>
      <w:r w:rsidRPr="000B5C83">
        <w:rPr>
          <w:rFonts w:ascii="Cambria" w:eastAsia="MS Gothic" w:hAnsi="Cambria"/>
          <w:color w:val="17365D"/>
          <w:spacing w:val="5"/>
          <w:kern w:val="28"/>
          <w:sz w:val="44"/>
          <w:szCs w:val="44"/>
        </w:rPr>
        <w:t xml:space="preserve">Período </w:t>
      </w:r>
      <w:r w:rsidR="0008142F" w:rsidRPr="00AD1BE7">
        <w:rPr>
          <w:rFonts w:ascii="Cambria" w:eastAsia="MS Gothic" w:hAnsi="Cambria"/>
          <w:color w:val="17365D"/>
          <w:spacing w:val="5"/>
          <w:kern w:val="28"/>
          <w:sz w:val="44"/>
          <w:szCs w:val="44"/>
        </w:rPr>
        <w:t>202</w:t>
      </w:r>
      <w:r w:rsidR="00753422">
        <w:rPr>
          <w:rFonts w:ascii="Cambria" w:eastAsia="MS Gothic" w:hAnsi="Cambria"/>
          <w:color w:val="17365D"/>
          <w:spacing w:val="5"/>
          <w:kern w:val="28"/>
          <w:sz w:val="44"/>
          <w:szCs w:val="44"/>
        </w:rPr>
        <w:t>6</w:t>
      </w:r>
      <w:r w:rsidR="0008142F" w:rsidRPr="00AD1BE7">
        <w:rPr>
          <w:rFonts w:ascii="Cambria" w:eastAsia="MS Gothic" w:hAnsi="Cambria"/>
          <w:color w:val="17365D"/>
          <w:spacing w:val="5"/>
          <w:kern w:val="28"/>
          <w:sz w:val="44"/>
          <w:szCs w:val="44"/>
        </w:rPr>
        <w:t xml:space="preserve"> a 20</w:t>
      </w:r>
      <w:r w:rsidR="00822D7A">
        <w:rPr>
          <w:rFonts w:ascii="Cambria" w:eastAsia="MS Gothic" w:hAnsi="Cambria"/>
          <w:color w:val="17365D"/>
          <w:spacing w:val="5"/>
          <w:kern w:val="28"/>
          <w:sz w:val="44"/>
          <w:szCs w:val="44"/>
        </w:rPr>
        <w:t>30</w:t>
      </w:r>
      <w:r w:rsidR="009B7359">
        <w:br w:type="page"/>
      </w:r>
    </w:p>
    <w:p w14:paraId="081808D8" w14:textId="7A8FFE0D" w:rsidR="0034241C" w:rsidRPr="0034241C" w:rsidRDefault="0034241C" w:rsidP="0034241C">
      <w:pPr>
        <w:pStyle w:val="TDC1"/>
        <w:rPr>
          <w:rStyle w:val="Textoennegrita"/>
          <w:b/>
          <w:bCs/>
        </w:rPr>
      </w:pPr>
      <w:r w:rsidRPr="0034241C">
        <w:rPr>
          <w:rStyle w:val="Textoennegrita"/>
          <w:b/>
          <w:bCs/>
        </w:rPr>
        <w:lastRenderedPageBreak/>
        <w:t xml:space="preserve">Tabla de Contenido </w:t>
      </w:r>
    </w:p>
    <w:p w14:paraId="19465626" w14:textId="239752AC" w:rsidR="0004053B" w:rsidRDefault="00B35CF4">
      <w:pPr>
        <w:pStyle w:val="TDC1"/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es-MX"/>
          <w14:ligatures w14:val="standardContextual"/>
        </w:rPr>
      </w:pPr>
      <w:r>
        <w:rPr>
          <w:b w:val="0"/>
          <w:bCs w:val="0"/>
          <w:i/>
          <w:iCs/>
          <w:caps w:val="0"/>
          <w:szCs w:val="24"/>
        </w:rPr>
        <w:fldChar w:fldCharType="begin"/>
      </w:r>
      <w:r>
        <w:rPr>
          <w:b w:val="0"/>
          <w:bCs w:val="0"/>
          <w:i/>
          <w:iCs/>
          <w:caps w:val="0"/>
          <w:szCs w:val="24"/>
        </w:rPr>
        <w:instrText xml:space="preserve"> TOC \o "1-3" \h \z \u </w:instrText>
      </w:r>
      <w:r>
        <w:rPr>
          <w:b w:val="0"/>
          <w:bCs w:val="0"/>
          <w:i/>
          <w:iCs/>
          <w:caps w:val="0"/>
          <w:szCs w:val="24"/>
        </w:rPr>
        <w:fldChar w:fldCharType="separate"/>
      </w:r>
      <w:hyperlink w:anchor="_Toc191544307" w:history="1">
        <w:r w:rsidR="0004053B" w:rsidRPr="0090502D">
          <w:rPr>
            <w:rStyle w:val="Hipervnculo"/>
            <w:noProof/>
          </w:rPr>
          <w:t>1</w:t>
        </w:r>
        <w:r w:rsidR="0004053B"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="0004053B" w:rsidRPr="0090502D">
          <w:rPr>
            <w:rStyle w:val="Hipervnculo"/>
            <w:noProof/>
          </w:rPr>
          <w:t>Aspectos Generales</w:t>
        </w:r>
        <w:r w:rsidR="0004053B">
          <w:rPr>
            <w:noProof/>
            <w:webHidden/>
          </w:rPr>
          <w:tab/>
        </w:r>
        <w:r w:rsidR="0004053B">
          <w:rPr>
            <w:noProof/>
            <w:webHidden/>
          </w:rPr>
          <w:fldChar w:fldCharType="begin"/>
        </w:r>
        <w:r w:rsidR="0004053B">
          <w:rPr>
            <w:noProof/>
            <w:webHidden/>
          </w:rPr>
          <w:instrText xml:space="preserve"> PAGEREF _Toc191544307 \h </w:instrText>
        </w:r>
        <w:r w:rsidR="0004053B">
          <w:rPr>
            <w:noProof/>
            <w:webHidden/>
          </w:rPr>
        </w:r>
        <w:r w:rsidR="0004053B"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3</w:t>
        </w:r>
        <w:r w:rsidR="0004053B">
          <w:rPr>
            <w:noProof/>
            <w:webHidden/>
          </w:rPr>
          <w:fldChar w:fldCharType="end"/>
        </w:r>
      </w:hyperlink>
    </w:p>
    <w:p w14:paraId="3A63B9FC" w14:textId="7BE53046" w:rsidR="0004053B" w:rsidRDefault="0004053B">
      <w:pPr>
        <w:pStyle w:val="TDC1"/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08" w:history="1">
        <w:r w:rsidRPr="0090502D">
          <w:rPr>
            <w:rStyle w:val="Hipervnculo"/>
            <w:noProof/>
          </w:rPr>
          <w:t>2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Costos de Inversión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E2CBA5" w14:textId="3C9B1190" w:rsidR="0004053B" w:rsidRDefault="0004053B">
      <w:pPr>
        <w:pStyle w:val="TDC1"/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09" w:history="1">
        <w:r w:rsidRPr="0090502D">
          <w:rPr>
            <w:rStyle w:val="Hipervnculo"/>
            <w:noProof/>
          </w:rPr>
          <w:t>3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Gastos de Explotación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AB3D46" w14:textId="50A97632" w:rsidR="0004053B" w:rsidRDefault="0004053B">
      <w:pPr>
        <w:pStyle w:val="TDC2"/>
        <w:tabs>
          <w:tab w:val="left" w:pos="1680"/>
          <w:tab w:val="right" w:leader="dot" w:pos="8828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10" w:history="1">
        <w:r w:rsidRPr="0090502D">
          <w:rPr>
            <w:rStyle w:val="Hipervnculo"/>
            <w:noProof/>
          </w:rPr>
          <w:t>3.1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Procesamiento de una Solicitud de Portabilidad de un Número (Alta) - 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5A9972" w14:textId="73D19D55" w:rsidR="0004053B" w:rsidRDefault="0004053B">
      <w:pPr>
        <w:pStyle w:val="TDC2"/>
        <w:tabs>
          <w:tab w:val="left" w:pos="1680"/>
          <w:tab w:val="right" w:leader="dot" w:pos="8828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11" w:history="1">
        <w:r w:rsidRPr="0090502D">
          <w:rPr>
            <w:rStyle w:val="Hipervnculo"/>
            <w:noProof/>
          </w:rPr>
          <w:t>3.2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Proceso de Reversión de una Portabilidad (RP).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7BD7D5D" w14:textId="15E9E85A" w:rsidR="0004053B" w:rsidRDefault="0004053B">
      <w:pPr>
        <w:pStyle w:val="TDC2"/>
        <w:tabs>
          <w:tab w:val="left" w:pos="1680"/>
          <w:tab w:val="right" w:leader="dot" w:pos="8828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12" w:history="1">
        <w:r w:rsidRPr="0090502D">
          <w:rPr>
            <w:rStyle w:val="Hipervnculo"/>
            <w:noProof/>
          </w:rPr>
          <w:t>3.3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Consultas de Prevalidación sin Solicitud (CP)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B7F0F30" w14:textId="54389B0F" w:rsidR="0004053B" w:rsidRDefault="0004053B">
      <w:pPr>
        <w:pStyle w:val="TDC2"/>
        <w:tabs>
          <w:tab w:val="left" w:pos="1680"/>
          <w:tab w:val="right" w:leader="dot" w:pos="8828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13" w:history="1">
        <w:r w:rsidRPr="0090502D">
          <w:rPr>
            <w:rStyle w:val="Hipervnculo"/>
            <w:noProof/>
          </w:rPr>
          <w:t>3.4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Venta de TEP a Terceros Interesados (ETEP).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47652F8" w14:textId="4018EECD" w:rsidR="0004053B" w:rsidRDefault="0004053B">
      <w:pPr>
        <w:pStyle w:val="TDC1"/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14" w:history="1">
        <w:r w:rsidRPr="0090502D">
          <w:rPr>
            <w:rStyle w:val="Hipervnculo"/>
            <w:noProof/>
          </w:rPr>
          <w:t>4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Presentación de la Oferta Económica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A59C637" w14:textId="3E99D9F8" w:rsidR="0004053B" w:rsidRDefault="0004053B">
      <w:pPr>
        <w:pStyle w:val="TDC2"/>
        <w:tabs>
          <w:tab w:val="left" w:pos="1680"/>
          <w:tab w:val="right" w:leader="dot" w:pos="8828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15" w:history="1">
        <w:r w:rsidRPr="0090502D">
          <w:rPr>
            <w:rStyle w:val="Hipervnculo"/>
            <w:noProof/>
          </w:rPr>
          <w:t>4.1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Inversiones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11608D2" w14:textId="09EE1019" w:rsidR="0004053B" w:rsidRDefault="0004053B">
      <w:pPr>
        <w:pStyle w:val="TDC2"/>
        <w:tabs>
          <w:tab w:val="left" w:pos="1680"/>
          <w:tab w:val="right" w:leader="dot" w:pos="8828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16" w:history="1">
        <w:r w:rsidRPr="0090502D">
          <w:rPr>
            <w:rStyle w:val="Hipervnculo"/>
            <w:noProof/>
          </w:rPr>
          <w:t>4.2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Precio de las transacciones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55D15CA" w14:textId="5E57DE68" w:rsidR="0004053B" w:rsidRDefault="0004053B">
      <w:pPr>
        <w:pStyle w:val="TDC1"/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17" w:history="1">
        <w:r w:rsidRPr="0090502D">
          <w:rPr>
            <w:rStyle w:val="Hipervnculo"/>
            <w:noProof/>
          </w:rPr>
          <w:t>5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Evaluación de la Oferta Económica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F19B462" w14:textId="409FA8E4" w:rsidR="0004053B" w:rsidRDefault="0004053B">
      <w:pPr>
        <w:pStyle w:val="TDC2"/>
        <w:tabs>
          <w:tab w:val="left" w:pos="1680"/>
          <w:tab w:val="right" w:leader="dot" w:pos="8828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18" w:history="1">
        <w:r w:rsidRPr="0090502D">
          <w:rPr>
            <w:rStyle w:val="Hipervnculo"/>
            <w:noProof/>
          </w:rPr>
          <w:t>5.1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Asignación de Puntaje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829F0D1" w14:textId="6A63CBB9" w:rsidR="0004053B" w:rsidRDefault="0004053B">
      <w:pPr>
        <w:pStyle w:val="TDC2"/>
        <w:tabs>
          <w:tab w:val="left" w:pos="1680"/>
          <w:tab w:val="right" w:leader="dot" w:pos="8828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19" w:history="1">
        <w:r w:rsidRPr="0090502D">
          <w:rPr>
            <w:rStyle w:val="Hipervnculo"/>
            <w:noProof/>
          </w:rPr>
          <w:t>5.2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Puntaje total de la Oferta Económica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C0833E7" w14:textId="2A641630" w:rsidR="0004053B" w:rsidRDefault="0004053B">
      <w:pPr>
        <w:pStyle w:val="TDC1"/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20" w:history="1">
        <w:r w:rsidRPr="0090502D">
          <w:rPr>
            <w:rStyle w:val="Hipervnculo"/>
            <w:noProof/>
          </w:rPr>
          <w:t>6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Procedimiento Complementario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1BC04AC" w14:textId="7D0671D0" w:rsidR="0004053B" w:rsidRDefault="0004053B">
      <w:pPr>
        <w:pStyle w:val="TDC1"/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21" w:history="1">
        <w:r w:rsidRPr="0090502D">
          <w:rPr>
            <w:rStyle w:val="Hipervnculo"/>
            <w:noProof/>
          </w:rPr>
          <w:t>7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Anexo Nº1: Presentación Oferta Económica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50C3FEE" w14:textId="42DFCB47" w:rsidR="0004053B" w:rsidRDefault="0004053B">
      <w:pPr>
        <w:pStyle w:val="TDC1"/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es-MX"/>
          <w14:ligatures w14:val="standardContextual"/>
        </w:rPr>
      </w:pPr>
      <w:hyperlink w:anchor="_Toc191544322" w:history="1">
        <w:r w:rsidRPr="0090502D">
          <w:rPr>
            <w:rStyle w:val="Hipervnculo"/>
            <w:noProof/>
          </w:rPr>
          <w:t>8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es-MX"/>
            <w14:ligatures w14:val="standardContextual"/>
          </w:rPr>
          <w:tab/>
        </w:r>
        <w:r w:rsidRPr="0090502D">
          <w:rPr>
            <w:rStyle w:val="Hipervnculo"/>
            <w:noProof/>
          </w:rPr>
          <w:t>Anexo Nº2: Desagregación de las Inversiones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_Toc191544322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74E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B737EEE" w14:textId="51FD7AA1" w:rsidR="004676B6" w:rsidRDefault="00B35CF4" w:rsidP="004676B6">
      <w:pPr>
        <w:rPr>
          <w:b/>
        </w:rPr>
      </w:pPr>
      <w:r>
        <w:rPr>
          <w:rFonts w:asciiTheme="minorHAnsi" w:hAnsiTheme="minorHAnsi" w:cstheme="minorHAnsi"/>
          <w:b/>
          <w:bCs/>
          <w:i/>
          <w:iCs/>
          <w:caps/>
          <w:sz w:val="20"/>
          <w:szCs w:val="24"/>
        </w:rPr>
        <w:fldChar w:fldCharType="end"/>
      </w:r>
    </w:p>
    <w:p w14:paraId="20131F88" w14:textId="18AD5CFB" w:rsidR="004676B6" w:rsidRDefault="004676B6">
      <w:pPr>
        <w:suppressAutoHyphens w:val="0"/>
        <w:spacing w:after="0" w:line="240" w:lineRule="auto"/>
        <w:jc w:val="left"/>
        <w:rPr>
          <w:b/>
        </w:rPr>
      </w:pPr>
    </w:p>
    <w:p w14:paraId="4DD4C1FB" w14:textId="762287E2" w:rsidR="004676B6" w:rsidRDefault="004676B6">
      <w:pPr>
        <w:suppressAutoHyphens w:val="0"/>
        <w:spacing w:after="0" w:line="240" w:lineRule="auto"/>
        <w:jc w:val="left"/>
        <w:rPr>
          <w:b/>
        </w:rPr>
      </w:pPr>
    </w:p>
    <w:p w14:paraId="25C3D0CE" w14:textId="642E314C" w:rsidR="004676B6" w:rsidRDefault="004676B6">
      <w:pPr>
        <w:suppressAutoHyphens w:val="0"/>
        <w:spacing w:after="0" w:line="240" w:lineRule="auto"/>
        <w:jc w:val="left"/>
        <w:rPr>
          <w:b/>
        </w:rPr>
      </w:pPr>
    </w:p>
    <w:p w14:paraId="5B260EDE" w14:textId="5E1547D1" w:rsidR="004676B6" w:rsidRDefault="004676B6">
      <w:pPr>
        <w:suppressAutoHyphens w:val="0"/>
        <w:spacing w:after="0" w:line="240" w:lineRule="auto"/>
        <w:jc w:val="left"/>
        <w:rPr>
          <w:b/>
        </w:rPr>
      </w:pPr>
    </w:p>
    <w:p w14:paraId="71710FB7" w14:textId="1974C3D0" w:rsidR="004676B6" w:rsidRDefault="004676B6">
      <w:pPr>
        <w:suppressAutoHyphens w:val="0"/>
        <w:spacing w:after="0" w:line="240" w:lineRule="auto"/>
        <w:jc w:val="left"/>
        <w:rPr>
          <w:b/>
        </w:rPr>
      </w:pPr>
    </w:p>
    <w:p w14:paraId="2F88BE6E" w14:textId="2BFE60D2" w:rsidR="004676B6" w:rsidRDefault="004676B6">
      <w:pPr>
        <w:suppressAutoHyphens w:val="0"/>
        <w:spacing w:after="0" w:line="240" w:lineRule="auto"/>
        <w:jc w:val="left"/>
        <w:rPr>
          <w:b/>
        </w:rPr>
      </w:pPr>
    </w:p>
    <w:p w14:paraId="58D5307A" w14:textId="05B1B082" w:rsidR="004676B6" w:rsidRDefault="004676B6">
      <w:pPr>
        <w:suppressAutoHyphens w:val="0"/>
        <w:spacing w:after="0" w:line="240" w:lineRule="auto"/>
        <w:jc w:val="left"/>
        <w:rPr>
          <w:b/>
        </w:rPr>
      </w:pPr>
    </w:p>
    <w:p w14:paraId="0CCD2C31" w14:textId="362519C9" w:rsidR="004676B6" w:rsidRDefault="004676B6">
      <w:pPr>
        <w:suppressAutoHyphens w:val="0"/>
        <w:spacing w:after="0" w:line="240" w:lineRule="auto"/>
        <w:jc w:val="left"/>
        <w:rPr>
          <w:b/>
        </w:rPr>
      </w:pPr>
    </w:p>
    <w:p w14:paraId="0DE31643" w14:textId="5BD9B73E" w:rsidR="004676B6" w:rsidRDefault="004676B6">
      <w:pPr>
        <w:suppressAutoHyphens w:val="0"/>
        <w:spacing w:after="0" w:line="240" w:lineRule="auto"/>
        <w:jc w:val="left"/>
        <w:rPr>
          <w:b/>
        </w:rPr>
      </w:pPr>
    </w:p>
    <w:p w14:paraId="7419110F" w14:textId="07E96073" w:rsidR="001B1C68" w:rsidRPr="001B1C68" w:rsidRDefault="009B7359" w:rsidP="001B1C68">
      <w:pPr>
        <w:pStyle w:val="Ttulo1"/>
      </w:pPr>
      <w:bookmarkStart w:id="0" w:name="_Toc166237450"/>
      <w:bookmarkStart w:id="1" w:name="_Toc17298543"/>
      <w:bookmarkStart w:id="2" w:name="_Toc17381532"/>
      <w:bookmarkStart w:id="3" w:name="_Toc17381812"/>
      <w:bookmarkStart w:id="4" w:name="_Toc191544307"/>
      <w:r>
        <w:lastRenderedPageBreak/>
        <w:t>Aspectos Generales</w:t>
      </w:r>
      <w:bookmarkEnd w:id="0"/>
      <w:bookmarkEnd w:id="1"/>
      <w:bookmarkEnd w:id="2"/>
      <w:bookmarkEnd w:id="3"/>
      <w:bookmarkEnd w:id="4"/>
    </w:p>
    <w:p w14:paraId="00B050C8" w14:textId="69485AD6" w:rsidR="009B7359" w:rsidRDefault="00F47103" w:rsidP="009B7359">
      <w:r w:rsidRPr="00B86CD2">
        <w:t xml:space="preserve">Las presentes Bases Económicas establecen los requisitos, contenidos y la forma en que los Proponentes deben presentar </w:t>
      </w:r>
      <w:r w:rsidR="00287ECE">
        <w:t>la oferta o propuesta económica</w:t>
      </w:r>
      <w:r w:rsidRPr="00B86CD2">
        <w:t xml:space="preserve"> en la </w:t>
      </w:r>
      <w:r w:rsidRPr="00B86CD2">
        <w:rPr>
          <w:b/>
        </w:rPr>
        <w:t xml:space="preserve">“Licitación para la contratación del Organismo Administrador de </w:t>
      </w:r>
      <w:r w:rsidR="00287ECE">
        <w:rPr>
          <w:b/>
        </w:rPr>
        <w:t xml:space="preserve">la </w:t>
      </w:r>
      <w:r w:rsidRPr="00B86CD2">
        <w:rPr>
          <w:b/>
        </w:rPr>
        <w:t>Portabilidad”</w:t>
      </w:r>
      <w:r w:rsidR="00B51773">
        <w:t xml:space="preserve"> para el periodo </w:t>
      </w:r>
      <w:r w:rsidR="0008142F" w:rsidRPr="00031CA0">
        <w:t>202</w:t>
      </w:r>
      <w:r w:rsidR="00822D7A">
        <w:t>6</w:t>
      </w:r>
      <w:r w:rsidR="0008142F" w:rsidRPr="00031CA0">
        <w:t xml:space="preserve"> a 20</w:t>
      </w:r>
      <w:r w:rsidR="00822D7A">
        <w:t>30</w:t>
      </w:r>
      <w:r w:rsidR="00B51773">
        <w:t>.</w:t>
      </w:r>
      <w:r w:rsidRPr="00B86CD2">
        <w:t xml:space="preserve"> </w:t>
      </w:r>
      <w:r w:rsidR="0008142F">
        <w:t>Asimismo,</w:t>
      </w:r>
      <w:r w:rsidRPr="00B86CD2">
        <w:t xml:space="preserve"> se seña</w:t>
      </w:r>
      <w:r w:rsidR="00287ECE">
        <w:t>la la forma en que se evaluarán</w:t>
      </w:r>
      <w:r w:rsidRPr="00B86CD2">
        <w:t xml:space="preserve"> las propuestas económicas ofertadas por los Proponentes.</w:t>
      </w:r>
    </w:p>
    <w:p w14:paraId="0717C487" w14:textId="77777777" w:rsidR="00585944" w:rsidRDefault="00F47103" w:rsidP="001801AC">
      <w:r w:rsidRPr="006E5A2E">
        <w:t>La oferta económica deberá considerar los costos de inversión y los costos de explotación para el financiamiento de</w:t>
      </w:r>
      <w:r w:rsidR="006E5A2E">
        <w:t>l</w:t>
      </w:r>
      <w:r w:rsidRPr="006E5A2E">
        <w:t xml:space="preserve"> Organismo Administrador de </w:t>
      </w:r>
      <w:r w:rsidR="00287ECE">
        <w:t xml:space="preserve">la </w:t>
      </w:r>
      <w:r w:rsidRPr="006E5A2E">
        <w:t>Portabilidad</w:t>
      </w:r>
      <w:r w:rsidR="00287ECE">
        <w:t xml:space="preserve"> Numérica</w:t>
      </w:r>
      <w:r w:rsidRPr="006E5A2E">
        <w:t xml:space="preserve">, en adelante </w:t>
      </w:r>
      <w:r w:rsidR="006E5A2E">
        <w:t>(</w:t>
      </w:r>
      <w:r w:rsidRPr="006E5A2E">
        <w:t>OAP</w:t>
      </w:r>
      <w:r w:rsidR="006E5A2E">
        <w:t>)</w:t>
      </w:r>
      <w:r w:rsidRPr="006E5A2E">
        <w:t xml:space="preserve">, </w:t>
      </w:r>
      <w:r w:rsidR="00287ECE">
        <w:t>considerando que se exigirá que es</w:t>
      </w:r>
      <w:r w:rsidR="001801AC">
        <w:t>ta operación la ejecute una empr</w:t>
      </w:r>
      <w:r w:rsidR="00287ECE">
        <w:t>esa de giro único.</w:t>
      </w:r>
    </w:p>
    <w:p w14:paraId="35DB278B" w14:textId="7B839E05" w:rsidR="00F47103" w:rsidRPr="006E5A2E" w:rsidRDefault="00F47103" w:rsidP="00585944">
      <w:r w:rsidRPr="006E5A2E">
        <w:t xml:space="preserve"> Esta oferta económica debe ajustarse a lo señalado en las Bases</w:t>
      </w:r>
      <w:r w:rsidR="00287ECE">
        <w:t xml:space="preserve"> de Licitación, </w:t>
      </w:r>
      <w:r w:rsidR="00067396">
        <w:t xml:space="preserve">en </w:t>
      </w:r>
      <w:r w:rsidR="00287ECE">
        <w:t>el artículo 25 b</w:t>
      </w:r>
      <w:r w:rsidRPr="006E5A2E">
        <w:t xml:space="preserve">is de la Ley </w:t>
      </w:r>
      <w:r w:rsidR="00287ECE">
        <w:t xml:space="preserve">Nº18.168, </w:t>
      </w:r>
      <w:r w:rsidRPr="006E5A2E">
        <w:t>General de Telecomunicaciones</w:t>
      </w:r>
      <w:r w:rsidR="00287ECE">
        <w:t>, en adelante la Ley</w:t>
      </w:r>
      <w:r w:rsidR="00067396">
        <w:t>,</w:t>
      </w:r>
      <w:r w:rsidRPr="006E5A2E">
        <w:t xml:space="preserve"> y</w:t>
      </w:r>
      <w:r w:rsidR="00067396">
        <w:t xml:space="preserve"> en</w:t>
      </w:r>
      <w:r w:rsidRPr="006E5A2E">
        <w:t xml:space="preserve"> el Decreto Supremo N°16 de </w:t>
      </w:r>
      <w:r w:rsidR="0035322C">
        <w:t xml:space="preserve">01 de Febrero de </w:t>
      </w:r>
      <w:r w:rsidRPr="006E5A2E">
        <w:t xml:space="preserve">2011 del Ministerio de Transportes y Telecomunicaciones, por el </w:t>
      </w:r>
      <w:r w:rsidR="0035322C">
        <w:t>cual se aprobó</w:t>
      </w:r>
      <w:r w:rsidRPr="006E5A2E">
        <w:t xml:space="preserve"> el </w:t>
      </w:r>
      <w:r w:rsidRPr="00B86CD2">
        <w:t xml:space="preserve">Reglamento que </w:t>
      </w:r>
      <w:r w:rsidR="00CF720B">
        <w:t>“</w:t>
      </w:r>
      <w:r w:rsidR="00CF720B">
        <w:rPr>
          <w:i/>
        </w:rPr>
        <w:t>E</w:t>
      </w:r>
      <w:r w:rsidRPr="00CF720B">
        <w:rPr>
          <w:i/>
        </w:rPr>
        <w:t>stablece</w:t>
      </w:r>
      <w:r w:rsidR="00B305D9" w:rsidRPr="00D53B75">
        <w:rPr>
          <w:i/>
        </w:rPr>
        <w:t xml:space="preserve"> el procedimiento de licitación para designar al Organismo Administrador de la Portabilidad Numérica y todos los aspectos relativos a su instalación, organización, funcionamiento y condiciones económicas respecto de las transacciones asociadas a la portabilidad</w:t>
      </w:r>
      <w:r w:rsidR="00CF720B">
        <w:rPr>
          <w:i/>
        </w:rPr>
        <w:t>”</w:t>
      </w:r>
      <w:r w:rsidRPr="006E5A2E">
        <w:t>, en adelante el Reglamento.</w:t>
      </w:r>
    </w:p>
    <w:p w14:paraId="3388BCD3" w14:textId="3D298600" w:rsidR="00F47103" w:rsidRPr="00585944" w:rsidRDefault="00B86811" w:rsidP="007C0486">
      <w:pPr>
        <w:pStyle w:val="Ttulo1"/>
      </w:pPr>
      <w:bookmarkStart w:id="5" w:name="_Toc166237451"/>
      <w:bookmarkStart w:id="6" w:name="_Toc17298544"/>
      <w:bookmarkStart w:id="7" w:name="_Toc17381533"/>
      <w:bookmarkStart w:id="8" w:name="_Toc17381813"/>
      <w:bookmarkStart w:id="9" w:name="_Toc191544308"/>
      <w:r>
        <w:lastRenderedPageBreak/>
        <w:t>Costos de Inversión</w:t>
      </w:r>
      <w:bookmarkEnd w:id="5"/>
      <w:bookmarkEnd w:id="6"/>
      <w:bookmarkEnd w:id="7"/>
      <w:bookmarkEnd w:id="8"/>
      <w:bookmarkEnd w:id="9"/>
    </w:p>
    <w:p w14:paraId="1FC0CB2A" w14:textId="5DC28F6F" w:rsidR="00160D39" w:rsidRPr="00B86CD2" w:rsidRDefault="00F47103" w:rsidP="00585944">
      <w:r w:rsidRPr="00B86CD2">
        <w:t>La infraestructura técnica de hardware y software requerida por el OAP para su funcionamiento</w:t>
      </w:r>
      <w:r w:rsidR="00CA1274" w:rsidRPr="00031CA0">
        <w:t>,</w:t>
      </w:r>
      <w:r w:rsidRPr="00B86CD2">
        <w:t xml:space="preserve"> descrita en el Reglamento y en las Bases Técnicas de la licitación, será considerada como la inversión integral necesaria para su implementación, </w:t>
      </w:r>
      <w:r w:rsidR="007C0486">
        <w:t xml:space="preserve">incluida la </w:t>
      </w:r>
      <w:r w:rsidRPr="00B86CD2">
        <w:t xml:space="preserve">habilitación y </w:t>
      </w:r>
      <w:r w:rsidR="007C0486">
        <w:t xml:space="preserve">puesta en servicio </w:t>
      </w:r>
      <w:r w:rsidRPr="00B86CD2">
        <w:t xml:space="preserve">de </w:t>
      </w:r>
      <w:r w:rsidR="007C0486">
        <w:t>la</w:t>
      </w:r>
      <w:r w:rsidRPr="00B86CD2">
        <w:t xml:space="preserve"> portabilidad del número telefónico</w:t>
      </w:r>
      <w:r w:rsidR="004231FF">
        <w:t xml:space="preserve"> (puesta en servicio)</w:t>
      </w:r>
      <w:r w:rsidRPr="00B86CD2">
        <w:t>, recayendo exclusivamente en el Proponente la responsabilidad de dimensionar en su propuesta  dichos costos</w:t>
      </w:r>
      <w:r w:rsidR="004231FF">
        <w:t xml:space="preserve"> y sus plazos</w:t>
      </w:r>
      <w:r w:rsidRPr="00B86CD2">
        <w:t xml:space="preserve">, </w:t>
      </w:r>
      <w:r w:rsidR="007C0486">
        <w:t>debiendo tener en consideración</w:t>
      </w:r>
      <w:r w:rsidRPr="00B86CD2">
        <w:t xml:space="preserve"> la inclusión de todas las ampliaciones, modificaciones y/o actualizaciones que corresponda</w:t>
      </w:r>
      <w:r w:rsidR="007C0486">
        <w:t>n o pudieren resultar necesario</w:t>
      </w:r>
      <w:r w:rsidRPr="00B86CD2">
        <w:t xml:space="preserve">  efectuar, por cualquier causa, </w:t>
      </w:r>
      <w:r w:rsidR="007C0486">
        <w:t>durante su designación como OAP, para el adecuado funcionamiento del sistema.</w:t>
      </w:r>
    </w:p>
    <w:p w14:paraId="423EBBEF" w14:textId="153F56A4" w:rsidR="00F47103" w:rsidRPr="00585944" w:rsidRDefault="00F47103" w:rsidP="00585944">
      <w:r w:rsidRPr="00B86CD2">
        <w:t xml:space="preserve">El valor de la </w:t>
      </w:r>
      <w:r w:rsidR="00107A56">
        <w:t>inversión propuesta será aquél considerado</w:t>
      </w:r>
      <w:r w:rsidRPr="00B86CD2">
        <w:t xml:space="preserve"> como </w:t>
      </w:r>
      <w:r w:rsidR="00CA1274" w:rsidRPr="00031CA0">
        <w:t xml:space="preserve">el monto </w:t>
      </w:r>
      <w:r w:rsidRPr="00031CA0">
        <w:t>necesari</w:t>
      </w:r>
      <w:r w:rsidR="00CA1274" w:rsidRPr="00031CA0">
        <w:t>o</w:t>
      </w:r>
      <w:r w:rsidRPr="00031CA0">
        <w:t xml:space="preserve"> para la implementación</w:t>
      </w:r>
      <w:r w:rsidR="00107A56" w:rsidRPr="00031CA0">
        <w:t>,</w:t>
      </w:r>
      <w:r w:rsidRPr="00031CA0">
        <w:t xml:space="preserve"> cuantificándose en ba</w:t>
      </w:r>
      <w:r w:rsidRPr="00B86CD2">
        <w:t xml:space="preserve">se a dicho valor los aportes al monto de la inversión a que están obligadas las Concesionarias correspondientes, según lo establece el artículo 25° bis de la Ley, y al que deberán contribuir en su oportunidad las nuevas Concesionarias, de acuerdo </w:t>
      </w:r>
      <w:r w:rsidR="0008142F">
        <w:t>con</w:t>
      </w:r>
      <w:r w:rsidRPr="00B86CD2">
        <w:t xml:space="preserve"> las reglas de prorrateo de los costos de inversión establecidas en el artículo 29° del Reglamento</w:t>
      </w:r>
      <w:r w:rsidR="0042208D">
        <w:t xml:space="preserve"> respectivo</w:t>
      </w:r>
      <w:r w:rsidR="00067396">
        <w:t xml:space="preserve"> y en la resolución exenta correspondiente que la Subsecretaría</w:t>
      </w:r>
      <w:r w:rsidR="00E360F7">
        <w:t xml:space="preserve"> de Telecomunicaciones </w:t>
      </w:r>
      <w:r w:rsidR="00067396">
        <w:t xml:space="preserve"> dicte para estos efectos</w:t>
      </w:r>
      <w:r w:rsidR="00E360F7">
        <w:t>.</w:t>
      </w:r>
    </w:p>
    <w:p w14:paraId="7BBCAA12" w14:textId="77777777" w:rsidR="009D247B" w:rsidRDefault="00F47103" w:rsidP="005D7C6C">
      <w:pPr>
        <w:spacing w:after="120"/>
        <w:ind w:firstLine="0"/>
      </w:pPr>
      <w:bookmarkStart w:id="10" w:name="_Ref277775615"/>
      <w:r w:rsidRPr="00B86CD2">
        <w:t xml:space="preserve">Los valores, la frecuencia y la metodología de cálculo para determinar la cantidad que le corresponde aportar al costo </w:t>
      </w:r>
      <w:r w:rsidR="009450C8" w:rsidRPr="00B86CD2">
        <w:t>de inversión</w:t>
      </w:r>
      <w:r w:rsidR="004231FF" w:rsidRPr="004231FF">
        <w:t xml:space="preserve"> </w:t>
      </w:r>
      <w:r w:rsidR="004231FF" w:rsidRPr="00B86CD2">
        <w:t>a cada concesionaria</w:t>
      </w:r>
      <w:r w:rsidRPr="00B86CD2">
        <w:t>, será la siguiente:</w:t>
      </w:r>
      <w:bookmarkEnd w:id="10"/>
    </w:p>
    <w:p w14:paraId="0FD5641C" w14:textId="55DDF98F" w:rsidR="009D247B" w:rsidRPr="005D7C6C" w:rsidRDefault="00F47103">
      <w:pPr>
        <w:pStyle w:val="Listamulticolor-nfasis12"/>
      </w:pPr>
      <w:r w:rsidRPr="00B86CD2">
        <w:t xml:space="preserve">El monto total de los costos de </w:t>
      </w:r>
      <w:r w:rsidR="00107A56">
        <w:t>inversión será financiado por las concesionaria</w:t>
      </w:r>
      <w:r w:rsidRPr="00B86CD2">
        <w:t xml:space="preserve">s de acuerdo </w:t>
      </w:r>
      <w:r w:rsidR="0008142F">
        <w:t>con</w:t>
      </w:r>
      <w:r w:rsidRPr="00B86CD2">
        <w:t xml:space="preserve"> la Ley, el Reglamento y conforme a los </w:t>
      </w:r>
      <w:r w:rsidRPr="00B86CD2">
        <w:lastRenderedPageBreak/>
        <w:t xml:space="preserve">mecanismos establecidos en estas Bases de Licitación. </w:t>
      </w:r>
    </w:p>
    <w:p w14:paraId="086E4B7C" w14:textId="17D1A706" w:rsidR="009D247B" w:rsidRPr="005D7C6C" w:rsidRDefault="00CF720B">
      <w:pPr>
        <w:pStyle w:val="Listamulticolor-nfasis12"/>
      </w:pPr>
      <w:r>
        <w:t xml:space="preserve">El proponente deberá ofertar </w:t>
      </w:r>
      <w:r w:rsidRPr="00E360F7">
        <w:t>el valor</w:t>
      </w:r>
      <w:r w:rsidR="0000693A" w:rsidRPr="003973C9">
        <w:t xml:space="preserve"> de la inversión total en</w:t>
      </w:r>
      <w:r>
        <w:t xml:space="preserve"> diez (10)</w:t>
      </w:r>
      <w:r w:rsidR="00F47103" w:rsidRPr="00585944">
        <w:t xml:space="preserve"> </w:t>
      </w:r>
      <w:r>
        <w:t>cuotas</w:t>
      </w:r>
      <w:r w:rsidR="00F47103" w:rsidRPr="00585944">
        <w:t xml:space="preserve"> seme</w:t>
      </w:r>
      <w:r>
        <w:t>strales,</w:t>
      </w:r>
      <w:r w:rsidR="00F47103" w:rsidRPr="00585944">
        <w:t xml:space="preserve"> todas iguales, expresadas en </w:t>
      </w:r>
      <w:r w:rsidR="00D53B75">
        <w:t>Unidades de Fomento,</w:t>
      </w:r>
      <w:r>
        <w:t xml:space="preserve"> </w:t>
      </w:r>
      <w:r w:rsidR="00F47103" w:rsidRPr="00585944">
        <w:t xml:space="preserve">más el Impuesto al Valor Agregado, en adelante IVA. La primera cuota podrá facturarse </w:t>
      </w:r>
      <w:r w:rsidR="00512BBF">
        <w:t xml:space="preserve">junto con la suscripción del Contrato a que se refiere el artículo 7 del </w:t>
      </w:r>
      <w:r w:rsidR="00822D7A">
        <w:t>Reglamento</w:t>
      </w:r>
      <w:r w:rsidR="00F47103" w:rsidRPr="00585944">
        <w:t>.</w:t>
      </w:r>
      <w:r w:rsidR="004231FF" w:rsidRPr="00585944">
        <w:t xml:space="preserve"> La fecha de pago de la última cuota no podrá exc</w:t>
      </w:r>
      <w:r w:rsidR="00512BBF">
        <w:t>eder del plazo de vigencia del C</w:t>
      </w:r>
      <w:r w:rsidR="004231FF" w:rsidRPr="00585944">
        <w:t xml:space="preserve">ontrato con el OAP. </w:t>
      </w:r>
      <w:r w:rsidR="0008142F" w:rsidRPr="00585944">
        <w:t>As</w:t>
      </w:r>
      <w:r w:rsidR="0008142F">
        <w:t>i</w:t>
      </w:r>
      <w:r w:rsidR="0008142F" w:rsidRPr="00585944">
        <w:t>mismo</w:t>
      </w:r>
      <w:r w:rsidR="004231FF" w:rsidRPr="00585944">
        <w:t>, en el eve</w:t>
      </w:r>
      <w:r w:rsidR="00512BBF">
        <w:t xml:space="preserve">nto </w:t>
      </w:r>
      <w:r w:rsidR="00107A56">
        <w:t xml:space="preserve">de terminación anticipada del </w:t>
      </w:r>
      <w:r w:rsidR="00512BBF">
        <w:t>C</w:t>
      </w:r>
      <w:r w:rsidR="004231FF" w:rsidRPr="00585944">
        <w:t xml:space="preserve">ontrato </w:t>
      </w:r>
      <w:r w:rsidR="00107A56">
        <w:t xml:space="preserve">con el OAP, por causas imputables a </w:t>
      </w:r>
      <w:r w:rsidR="00CA1274">
        <w:t>este</w:t>
      </w:r>
      <w:r w:rsidR="00107A56">
        <w:t xml:space="preserve"> último, y para efecto de las indemnizaciones y/o multas derivadas de dicho incumplimiento contractual, </w:t>
      </w:r>
      <w:r w:rsidR="004231FF" w:rsidRPr="00585944">
        <w:t xml:space="preserve">las operadoras podrán retener y/o no pagar a la sociedad que deja de ser OAP las cuotas </w:t>
      </w:r>
      <w:r w:rsidR="00107A56">
        <w:t xml:space="preserve">adeudadas </w:t>
      </w:r>
      <w:r w:rsidR="004231FF" w:rsidRPr="00585944">
        <w:t xml:space="preserve">por el costo de inversión. </w:t>
      </w:r>
    </w:p>
    <w:p w14:paraId="0A528833" w14:textId="25EFDB36" w:rsidR="009D247B" w:rsidRDefault="00F47103">
      <w:pPr>
        <w:pStyle w:val="Listamulticolor-nfasis12"/>
      </w:pPr>
      <w:r w:rsidRPr="00585944">
        <w:t>El cálculo de la proporción de participación de cada concesionaria en la inversión para cada período de pagos determinado en estas Bases de Licitación será efectuado por la Subsecretaría</w:t>
      </w:r>
      <w:r w:rsidR="004231FF" w:rsidRPr="00585944">
        <w:t xml:space="preserve"> de Telecomunicaciones</w:t>
      </w:r>
      <w:r w:rsidRPr="00585944">
        <w:t xml:space="preserve"> de acuerdo</w:t>
      </w:r>
      <w:r w:rsidR="0008142F">
        <w:t xml:space="preserve"> con</w:t>
      </w:r>
      <w:r w:rsidRPr="00585944">
        <w:t xml:space="preserve"> lo señalado en el artículo 29° del Reglamento.</w:t>
      </w:r>
    </w:p>
    <w:p w14:paraId="1B3FD031" w14:textId="2A7D040B" w:rsidR="009D247B" w:rsidRDefault="00F47103">
      <w:pPr>
        <w:pStyle w:val="Listamulticolor-nfasis12"/>
      </w:pPr>
      <w:r w:rsidRPr="00B86CD2">
        <w:t xml:space="preserve">El pago de la correspondiente cuota será </w:t>
      </w:r>
      <w:r w:rsidR="00C16683">
        <w:t>realizado</w:t>
      </w:r>
      <w:r w:rsidRPr="00B86CD2">
        <w:t xml:space="preserve"> al OAP</w:t>
      </w:r>
      <w:r w:rsidR="004231FF">
        <w:t xml:space="preserve"> directamente</w:t>
      </w:r>
      <w:r w:rsidRPr="00B86CD2">
        <w:t xml:space="preserve"> por </w:t>
      </w:r>
      <w:r w:rsidR="00107A56">
        <w:t>cada una</w:t>
      </w:r>
      <w:r w:rsidR="004231FF">
        <w:t xml:space="preserve"> de</w:t>
      </w:r>
      <w:r w:rsidR="00107A56">
        <w:t xml:space="preserve"> la</w:t>
      </w:r>
      <w:r w:rsidR="004231FF">
        <w:t>s</w:t>
      </w:r>
      <w:r w:rsidR="004231FF" w:rsidRPr="00B86CD2">
        <w:t xml:space="preserve"> </w:t>
      </w:r>
      <w:r w:rsidR="00107A56">
        <w:t>concesionaria</w:t>
      </w:r>
      <w:r w:rsidRPr="00B86CD2">
        <w:t>s de servicio público telefóni</w:t>
      </w:r>
      <w:r w:rsidR="00107A56">
        <w:t>co local, móvil y del mismo tipo</w:t>
      </w:r>
      <w:r w:rsidR="00512BBF">
        <w:t xml:space="preserve">, de acuerdo </w:t>
      </w:r>
      <w:r w:rsidR="00CA1274">
        <w:t>con</w:t>
      </w:r>
      <w:r w:rsidR="00512BBF">
        <w:t xml:space="preserve"> lo definido en el Anexo </w:t>
      </w:r>
      <w:r w:rsidR="00B33F4B">
        <w:t>N°</w:t>
      </w:r>
      <w:r w:rsidR="00512BBF">
        <w:t>3 del Contrato</w:t>
      </w:r>
      <w:r w:rsidR="00AF2F24">
        <w:t>.</w:t>
      </w:r>
    </w:p>
    <w:p w14:paraId="7A229C19" w14:textId="77777777" w:rsidR="00A05E3B" w:rsidRDefault="00A05E3B" w:rsidP="005D7C6C">
      <w:pPr>
        <w:pStyle w:val="Listamulticolor-nfasis12"/>
        <w:numPr>
          <w:ilvl w:val="0"/>
          <w:numId w:val="0"/>
        </w:numPr>
      </w:pPr>
    </w:p>
    <w:p w14:paraId="1CCB630B" w14:textId="23B70E32" w:rsidR="00F47103" w:rsidRPr="009D4764" w:rsidRDefault="00B86811" w:rsidP="009D4764">
      <w:pPr>
        <w:pStyle w:val="Ttulo1"/>
      </w:pPr>
      <w:bookmarkStart w:id="11" w:name="_Toc166237452"/>
      <w:bookmarkStart w:id="12" w:name="_Toc17298545"/>
      <w:bookmarkStart w:id="13" w:name="_Toc17381534"/>
      <w:bookmarkStart w:id="14" w:name="_Toc17381814"/>
      <w:bookmarkStart w:id="15" w:name="_Toc191544309"/>
      <w:r>
        <w:lastRenderedPageBreak/>
        <w:t>Gastos de Explotación</w:t>
      </w:r>
      <w:bookmarkEnd w:id="11"/>
      <w:bookmarkEnd w:id="12"/>
      <w:bookmarkEnd w:id="13"/>
      <w:bookmarkEnd w:id="14"/>
      <w:bookmarkEnd w:id="15"/>
    </w:p>
    <w:p w14:paraId="41A36F7E" w14:textId="5C071DED" w:rsidR="00F47103" w:rsidRPr="009D4764" w:rsidRDefault="00F47103" w:rsidP="009D4764">
      <w:bookmarkStart w:id="16" w:name="_Ref277237656"/>
      <w:r w:rsidRPr="009D4764">
        <w:t>El financiamiento de los costos de explotación, esto es,</w:t>
      </w:r>
      <w:r w:rsidR="00160D39" w:rsidRPr="009D4764">
        <w:t xml:space="preserve"> </w:t>
      </w:r>
      <w:r w:rsidRPr="009D4764">
        <w:t xml:space="preserve">las actividades de administración, operación, explotación y mantenimiento del OAP </w:t>
      </w:r>
      <w:r w:rsidR="0035322C" w:rsidRPr="009D4764">
        <w:t xml:space="preserve">serán de cargo del OAP, </w:t>
      </w:r>
      <w:r w:rsidR="001E4DCC">
        <w:t xml:space="preserve">en base a </w:t>
      </w:r>
      <w:r w:rsidRPr="009D4764">
        <w:t>lo establec</w:t>
      </w:r>
      <w:r w:rsidR="001E4DCC">
        <w:t>ido en</w:t>
      </w:r>
      <w:r w:rsidRPr="009D4764">
        <w:t xml:space="preserve"> el artículo 25° bis</w:t>
      </w:r>
      <w:r w:rsidRPr="00B86CD2">
        <w:t xml:space="preserve"> de la Ley, </w:t>
      </w:r>
      <w:r w:rsidR="0035322C">
        <w:t>con</w:t>
      </w:r>
      <w:r w:rsidRPr="00B86CD2">
        <w:t xml:space="preserve"> </w:t>
      </w:r>
      <w:r w:rsidR="00CA1274" w:rsidRPr="00031CA0">
        <w:t>el cobro por el procesamiento de</w:t>
      </w:r>
      <w:r w:rsidR="00CA1274">
        <w:t xml:space="preserve"> </w:t>
      </w:r>
      <w:r w:rsidRPr="00B86CD2">
        <w:t xml:space="preserve">las transacciones que se produzcan con motivo del proceso de portabilidad, incluyéndose en </w:t>
      </w:r>
      <w:r w:rsidR="009D4764">
        <w:t>ello</w:t>
      </w:r>
      <w:r w:rsidRPr="00B86CD2">
        <w:t xml:space="preserve"> todos los gastos en que deba incurrir para operar y atender adecuadamente a las Proveedoras involucradas en los distintos procesos de portabilidad y/o encaminamiento de comunicaciones. Para tal efecto, las transacciones consideradas serán las siguientes:</w:t>
      </w:r>
      <w:bookmarkEnd w:id="16"/>
    </w:p>
    <w:p w14:paraId="35F90E17" w14:textId="44F64103" w:rsidR="009D4764" w:rsidRPr="004676B6" w:rsidRDefault="00053C76" w:rsidP="004676B6">
      <w:pPr>
        <w:pStyle w:val="Ttulo2"/>
        <w:jc w:val="left"/>
      </w:pPr>
      <w:bookmarkStart w:id="17" w:name="_Toc421204499"/>
      <w:bookmarkStart w:id="18" w:name="_Toc423702829"/>
      <w:bookmarkStart w:id="19" w:name="_Toc425965846"/>
      <w:bookmarkStart w:id="20" w:name="_Toc17298546"/>
      <w:bookmarkStart w:id="21" w:name="_Toc17381535"/>
      <w:bookmarkStart w:id="22" w:name="_Toc17381815"/>
      <w:bookmarkStart w:id="23" w:name="_Toc191544310"/>
      <w:r w:rsidRPr="004676B6">
        <w:t xml:space="preserve">Procesamiento de una </w:t>
      </w:r>
      <w:bookmarkStart w:id="24" w:name="_Toc166237453"/>
      <w:r w:rsidR="00B86811" w:rsidRPr="004676B6">
        <w:t>S</w:t>
      </w:r>
      <w:r w:rsidR="00F47103" w:rsidRPr="004676B6">
        <w:t xml:space="preserve">olicitud de </w:t>
      </w:r>
      <w:r w:rsidRPr="004676B6">
        <w:t>P</w:t>
      </w:r>
      <w:r w:rsidR="00F47103" w:rsidRPr="004676B6">
        <w:t xml:space="preserve">ortabilidad de un </w:t>
      </w:r>
      <w:r w:rsidRPr="004676B6">
        <w:t>N</w:t>
      </w:r>
      <w:r w:rsidR="00F47103" w:rsidRPr="004676B6">
        <w:t xml:space="preserve">úmero </w:t>
      </w:r>
      <w:r w:rsidRPr="004676B6">
        <w:t>(Alta)</w:t>
      </w:r>
      <w:bookmarkEnd w:id="17"/>
      <w:bookmarkEnd w:id="18"/>
      <w:bookmarkEnd w:id="19"/>
      <w:bookmarkEnd w:id="24"/>
      <w:r w:rsidR="004676B6">
        <w:t xml:space="preserve"> </w:t>
      </w:r>
      <w:r w:rsidR="003973C9" w:rsidRPr="004676B6">
        <w:t>- AP</w:t>
      </w:r>
      <w:bookmarkEnd w:id="20"/>
      <w:bookmarkEnd w:id="21"/>
      <w:bookmarkEnd w:id="22"/>
      <w:bookmarkEnd w:id="23"/>
    </w:p>
    <w:p w14:paraId="2E9E4F9D" w14:textId="38CE2C91" w:rsidR="00F47103" w:rsidRPr="009D4764" w:rsidRDefault="00F47103" w:rsidP="009D4764">
      <w:r w:rsidRPr="003973C9">
        <w:t xml:space="preserve">Corresponde al proceso que se lleva a cabo para que un número de la red pública telefónica local, móvil </w:t>
      </w:r>
      <w:r w:rsidR="009B6AD5" w:rsidRPr="003973C9">
        <w:t xml:space="preserve">o </w:t>
      </w:r>
      <w:r w:rsidRPr="003973C9">
        <w:t xml:space="preserve">del mismo tipo sea portado a otra concesionaria. El cobro correspondiente lo realizará el OAP a la </w:t>
      </w:r>
      <w:r w:rsidRPr="003973C9">
        <w:rPr>
          <w:i/>
        </w:rPr>
        <w:t>Proveedora Receptora</w:t>
      </w:r>
      <w:r w:rsidR="00C16683" w:rsidRPr="003973C9">
        <w:t xml:space="preserve">, salvo en </w:t>
      </w:r>
      <w:r w:rsidR="00CA1274" w:rsidRPr="003973C9">
        <w:t>los</w:t>
      </w:r>
      <w:r w:rsidR="00C16683" w:rsidRPr="003973C9">
        <w:t xml:space="preserve"> caso</w:t>
      </w:r>
      <w:r w:rsidR="00CA1274" w:rsidRPr="003973C9">
        <w:t>s</w:t>
      </w:r>
      <w:r w:rsidR="00C16683" w:rsidRPr="003973C9">
        <w:t xml:space="preserve"> que una solicitud sea rechazada injustificadamente por no existir una respuesta por parte de</w:t>
      </w:r>
      <w:r w:rsidR="00031CA0" w:rsidRPr="003973C9">
        <w:t xml:space="preserve"> la Proveedora Donante</w:t>
      </w:r>
      <w:r w:rsidR="00C16683" w:rsidRPr="003973C9">
        <w:t>, en cuyo caso el costo será cobrado a est</w:t>
      </w:r>
      <w:r w:rsidR="00FD6D4C" w:rsidRPr="003973C9">
        <w:t>a</w:t>
      </w:r>
      <w:r w:rsidR="00C16683" w:rsidRPr="003973C9">
        <w:t xml:space="preserve"> últim</w:t>
      </w:r>
      <w:r w:rsidR="00031CA0" w:rsidRPr="003973C9">
        <w:t>a</w:t>
      </w:r>
      <w:r w:rsidR="00C16683" w:rsidRPr="003973C9">
        <w:t>.</w:t>
      </w:r>
      <w:r w:rsidRPr="003973C9">
        <w:t xml:space="preserve"> El precio que se cobre incluirá, a lo menos, los costos concernientes a las</w:t>
      </w:r>
      <w:r w:rsidRPr="00B86CD2">
        <w:t xml:space="preserve"> siguientes actividades: </w:t>
      </w:r>
    </w:p>
    <w:p w14:paraId="0A6109EA" w14:textId="66671C13" w:rsidR="00F47103" w:rsidRPr="003973C9" w:rsidRDefault="00F47103" w:rsidP="00554BAD">
      <w:pPr>
        <w:pStyle w:val="Listamulticolor-nfasis12"/>
        <w:numPr>
          <w:ilvl w:val="0"/>
          <w:numId w:val="20"/>
        </w:numPr>
      </w:pPr>
      <w:r w:rsidRPr="003973C9">
        <w:t>Consultas</w:t>
      </w:r>
      <w:r w:rsidR="003553C0" w:rsidRPr="003973C9">
        <w:t xml:space="preserve"> </w:t>
      </w:r>
      <w:r w:rsidR="00611BF2" w:rsidRPr="003973C9">
        <w:t xml:space="preserve">de </w:t>
      </w:r>
      <w:r w:rsidR="003553C0" w:rsidRPr="003973C9">
        <w:t>prevalidación</w:t>
      </w:r>
      <w:r w:rsidR="00611BF2" w:rsidRPr="003973C9">
        <w:t xml:space="preserve"> (de equipos bloqueados, de portabilidad dentro de </w:t>
      </w:r>
      <w:r w:rsidR="008C2179">
        <w:t>12</w:t>
      </w:r>
      <w:r w:rsidR="00611BF2" w:rsidRPr="003973C9">
        <w:t>0 días, y de Modalidad, Titularidad y Cuenta "al día")</w:t>
      </w:r>
    </w:p>
    <w:p w14:paraId="47C5FB3F" w14:textId="77777777" w:rsidR="00F47103" w:rsidRPr="003973C9" w:rsidRDefault="00F47103" w:rsidP="00294E5B">
      <w:pPr>
        <w:pStyle w:val="Listamulticolor-nfasis12"/>
        <w:numPr>
          <w:ilvl w:val="0"/>
          <w:numId w:val="20"/>
        </w:numPr>
      </w:pPr>
      <w:r w:rsidRPr="003973C9">
        <w:t>Registros en tablas</w:t>
      </w:r>
    </w:p>
    <w:p w14:paraId="1144844B" w14:textId="77777777" w:rsidR="00F47103" w:rsidRPr="003973C9" w:rsidRDefault="00F47103" w:rsidP="00B33F4B">
      <w:pPr>
        <w:pStyle w:val="Listamulticolor-nfasis12"/>
        <w:numPr>
          <w:ilvl w:val="0"/>
          <w:numId w:val="20"/>
        </w:numPr>
      </w:pPr>
      <w:r w:rsidRPr="003973C9">
        <w:t xml:space="preserve">Información de saldos pendientes entre </w:t>
      </w:r>
      <w:r w:rsidRPr="003973C9">
        <w:rPr>
          <w:i/>
        </w:rPr>
        <w:t>Proveedora Donante</w:t>
      </w:r>
      <w:r w:rsidRPr="003973C9">
        <w:t xml:space="preserve"> y </w:t>
      </w:r>
      <w:r w:rsidRPr="003973C9">
        <w:rPr>
          <w:i/>
        </w:rPr>
        <w:t>Proveedora Receptora</w:t>
      </w:r>
    </w:p>
    <w:p w14:paraId="0C93F403" w14:textId="77777777" w:rsidR="00F47103" w:rsidRPr="003973C9" w:rsidRDefault="00F47103" w:rsidP="00B33F4B">
      <w:pPr>
        <w:pStyle w:val="Listamulticolor-nfasis12"/>
        <w:numPr>
          <w:ilvl w:val="0"/>
          <w:numId w:val="20"/>
        </w:numPr>
      </w:pPr>
      <w:r w:rsidRPr="003973C9">
        <w:t>Transferencia de dato</w:t>
      </w:r>
      <w:r w:rsidR="003553C0" w:rsidRPr="003973C9">
        <w:t>s</w:t>
      </w:r>
      <w:r w:rsidR="0035322C" w:rsidRPr="003973C9">
        <w:t xml:space="preserve"> y reporte final</w:t>
      </w:r>
    </w:p>
    <w:p w14:paraId="08F318D4" w14:textId="1A2C38DA" w:rsidR="00F47103" w:rsidRPr="00B86811" w:rsidRDefault="00F47103" w:rsidP="00B86811">
      <w:r w:rsidRPr="00B86CD2">
        <w:lastRenderedPageBreak/>
        <w:t>Corresponderá el cobro de una transacción</w:t>
      </w:r>
      <w:r w:rsidR="00712990">
        <w:t xml:space="preserve"> </w:t>
      </w:r>
      <w:r w:rsidRPr="00B86CD2">
        <w:t>independientemente si el resultado de la misma es positivo, es decir, si se produjo la portación</w:t>
      </w:r>
      <w:r w:rsidR="00712990">
        <w:t>,</w:t>
      </w:r>
      <w:r w:rsidRPr="00B86CD2">
        <w:t xml:space="preserve"> o si es negativo, es decir, si por cualquier razón no imputable al OAP la portación es rechazada.</w:t>
      </w:r>
    </w:p>
    <w:p w14:paraId="710C2493" w14:textId="29715318" w:rsidR="004F60BC" w:rsidRPr="004676B6" w:rsidRDefault="00053C76" w:rsidP="004676B6">
      <w:pPr>
        <w:pStyle w:val="Ttulo2"/>
      </w:pPr>
      <w:bookmarkStart w:id="25" w:name="_Toc17298547"/>
      <w:bookmarkStart w:id="26" w:name="_Toc17381536"/>
      <w:bookmarkStart w:id="27" w:name="_Toc17381816"/>
      <w:bookmarkStart w:id="28" w:name="_Toc191544311"/>
      <w:r w:rsidRPr="004676B6">
        <w:t xml:space="preserve">Proceso de </w:t>
      </w:r>
      <w:bookmarkStart w:id="29" w:name="_Toc166237454"/>
      <w:r w:rsidR="00F47103" w:rsidRPr="004676B6">
        <w:t>Reversión de un</w:t>
      </w:r>
      <w:r w:rsidR="000A25AA" w:rsidRPr="004676B6">
        <w:t>a</w:t>
      </w:r>
      <w:r w:rsidR="00F47103" w:rsidRPr="004676B6">
        <w:t xml:space="preserve"> Portabilidad (RP).</w:t>
      </w:r>
      <w:bookmarkEnd w:id="25"/>
      <w:bookmarkEnd w:id="26"/>
      <w:bookmarkEnd w:id="27"/>
      <w:bookmarkEnd w:id="28"/>
      <w:bookmarkEnd w:id="29"/>
      <w:r w:rsidR="00F47103" w:rsidRPr="004676B6">
        <w:t xml:space="preserve"> </w:t>
      </w:r>
    </w:p>
    <w:p w14:paraId="79E41801" w14:textId="77777777" w:rsidR="00F47103" w:rsidRPr="004F60BC" w:rsidRDefault="00F47103" w:rsidP="004F60BC">
      <w:r w:rsidRPr="00B86CD2">
        <w:t xml:space="preserve">Corresponde al proceso que detiene y/o anula un proceso de Portabilidad que se encontraba en curso, dejando sin efecto todos los registros y transacciones que se hubiesen realizado con anterioridad a la reversión. El cobro lo realizará el OAP a la </w:t>
      </w:r>
      <w:r w:rsidRPr="00B86CD2">
        <w:rPr>
          <w:i/>
        </w:rPr>
        <w:t>Proveedora Receptora</w:t>
      </w:r>
      <w:r w:rsidRPr="00B86CD2">
        <w:t xml:space="preserve">. El precio que se cobre incluirá, a lo menos, los costos concernientes a las siguientes actividades: </w:t>
      </w:r>
    </w:p>
    <w:p w14:paraId="3E79E143" w14:textId="77777777" w:rsidR="00F47103" w:rsidRPr="00B86CD2" w:rsidRDefault="00F47103" w:rsidP="00554BAD">
      <w:pPr>
        <w:pStyle w:val="Listamulticolor-nfasis12"/>
        <w:numPr>
          <w:ilvl w:val="0"/>
          <w:numId w:val="21"/>
        </w:numPr>
      </w:pPr>
      <w:r w:rsidRPr="00B86CD2">
        <w:t>Consultas</w:t>
      </w:r>
      <w:r w:rsidR="003553C0">
        <w:t xml:space="preserve"> (prevalidación)</w:t>
      </w:r>
    </w:p>
    <w:p w14:paraId="64C3ADC4" w14:textId="77777777" w:rsidR="00F47103" w:rsidRPr="00B86CD2" w:rsidRDefault="00F47103" w:rsidP="00294E5B">
      <w:pPr>
        <w:pStyle w:val="Listamulticolor-nfasis12"/>
        <w:numPr>
          <w:ilvl w:val="0"/>
          <w:numId w:val="21"/>
        </w:numPr>
      </w:pPr>
      <w:r w:rsidRPr="00B86CD2">
        <w:t>Registros en tablas</w:t>
      </w:r>
    </w:p>
    <w:p w14:paraId="41EE1DA8" w14:textId="77777777" w:rsidR="00F47103" w:rsidRPr="00B86CD2" w:rsidRDefault="003553C0" w:rsidP="00B33F4B">
      <w:pPr>
        <w:pStyle w:val="Listamulticolor-nfasis12"/>
        <w:numPr>
          <w:ilvl w:val="0"/>
          <w:numId w:val="21"/>
        </w:numPr>
      </w:pPr>
      <w:r>
        <w:t>Transferencia de datos</w:t>
      </w:r>
      <w:r w:rsidR="00F47103" w:rsidRPr="00B86CD2">
        <w:t xml:space="preserve"> </w:t>
      </w:r>
      <w:r w:rsidR="0035322C">
        <w:t>y reporte final</w:t>
      </w:r>
    </w:p>
    <w:p w14:paraId="4EE9F390" w14:textId="2D988CCC" w:rsidR="004F60BC" w:rsidRPr="004676B6" w:rsidRDefault="00160D39" w:rsidP="004676B6">
      <w:pPr>
        <w:pStyle w:val="Ttulo2"/>
      </w:pPr>
      <w:bookmarkStart w:id="30" w:name="_Toc166237455"/>
      <w:bookmarkStart w:id="31" w:name="_Toc17298548"/>
      <w:bookmarkStart w:id="32" w:name="_Toc17381537"/>
      <w:bookmarkStart w:id="33" w:name="_Toc17381817"/>
      <w:bookmarkStart w:id="34" w:name="_Toc191544312"/>
      <w:r w:rsidRPr="004676B6">
        <w:t>Consulta</w:t>
      </w:r>
      <w:r w:rsidR="001B09CE" w:rsidRPr="004676B6">
        <w:t>s</w:t>
      </w:r>
      <w:r w:rsidRPr="004676B6">
        <w:t xml:space="preserve"> de </w:t>
      </w:r>
      <w:r w:rsidR="00053C76" w:rsidRPr="004676B6">
        <w:t>P</w:t>
      </w:r>
      <w:r w:rsidR="001B09CE" w:rsidRPr="004676B6">
        <w:t>revalidación</w:t>
      </w:r>
      <w:r w:rsidRPr="004676B6">
        <w:t xml:space="preserve"> sin </w:t>
      </w:r>
      <w:bookmarkEnd w:id="30"/>
      <w:r w:rsidR="00053C76" w:rsidRPr="004676B6">
        <w:t>S</w:t>
      </w:r>
      <w:r w:rsidRPr="004676B6">
        <w:t>olicitud (</w:t>
      </w:r>
      <w:r w:rsidR="00053C76" w:rsidRPr="004676B6">
        <w:t>CP</w:t>
      </w:r>
      <w:r w:rsidRPr="004676B6">
        <w:t>)</w:t>
      </w:r>
      <w:bookmarkEnd w:id="31"/>
      <w:bookmarkEnd w:id="32"/>
      <w:bookmarkEnd w:id="33"/>
      <w:bookmarkEnd w:id="34"/>
      <w:r w:rsidRPr="004676B6">
        <w:t xml:space="preserve"> </w:t>
      </w:r>
    </w:p>
    <w:p w14:paraId="0031BD3F" w14:textId="72A5C15E" w:rsidR="00C425BA" w:rsidRDefault="00C425BA" w:rsidP="004F60BC">
      <w:r>
        <w:t>Corresponde a las consultas definidas en la sección 2.2 de las Bases Técnicas, mediante las cuales el receptor solicita información específica de los requisitos para portar un número</w:t>
      </w:r>
      <w:r w:rsidR="00160D39">
        <w:t xml:space="preserve">, pero este proceso no se convierte </w:t>
      </w:r>
      <w:r w:rsidR="00053C76">
        <w:t xml:space="preserve">finalmente </w:t>
      </w:r>
      <w:r w:rsidR="00160D39">
        <w:t xml:space="preserve">en una solicitud de portabilidad. </w:t>
      </w:r>
    </w:p>
    <w:p w14:paraId="0F35DCE0" w14:textId="4BC79290" w:rsidR="00DA6733" w:rsidRDefault="00F83818" w:rsidP="002F2507">
      <w:r>
        <w:t xml:space="preserve">El precio de la </w:t>
      </w:r>
      <w:r w:rsidR="00C425BA">
        <w:t>so</w:t>
      </w:r>
      <w:r>
        <w:t>licitud de portabilidad (AP) incluirá</w:t>
      </w:r>
      <w:r w:rsidR="00C425BA">
        <w:t xml:space="preserve"> completamente el costo de las c</w:t>
      </w:r>
      <w:r>
        <w:t xml:space="preserve">onsultas de prevalidación </w:t>
      </w:r>
      <w:r w:rsidR="00712990" w:rsidRPr="00031CA0">
        <w:t>requeridas</w:t>
      </w:r>
      <w:r w:rsidR="00712990">
        <w:t xml:space="preserve"> </w:t>
      </w:r>
      <w:r w:rsidR="00A17C52">
        <w:t xml:space="preserve">para procesar </w:t>
      </w:r>
      <w:r>
        <w:t>dicha solicitud</w:t>
      </w:r>
      <w:r w:rsidR="00C425BA">
        <w:t>.</w:t>
      </w:r>
      <w:r w:rsidR="002F2507">
        <w:t xml:space="preserve"> </w:t>
      </w:r>
      <w:r w:rsidR="00200B00">
        <w:t xml:space="preserve">Contemplará </w:t>
      </w:r>
      <w:r w:rsidR="00DA6733">
        <w:t xml:space="preserve">el </w:t>
      </w:r>
      <w:r w:rsidR="00200B00">
        <w:t>envío por el</w:t>
      </w:r>
      <w:r w:rsidR="00200B00" w:rsidRPr="00200B00">
        <w:t xml:space="preserve"> </w:t>
      </w:r>
      <w:r w:rsidR="00DA6733">
        <w:t xml:space="preserve">Operador Receptor </w:t>
      </w:r>
      <w:r w:rsidR="00200B00">
        <w:t xml:space="preserve">de </w:t>
      </w:r>
      <w:r w:rsidR="00DA6733">
        <w:t>hasta 3 (tres) consultas de prevalidaci</w:t>
      </w:r>
      <w:r w:rsidR="006B3C7E">
        <w:t xml:space="preserve">ón de “Equipo </w:t>
      </w:r>
      <w:r w:rsidR="009450C8">
        <w:t>bloqueado</w:t>
      </w:r>
      <w:r w:rsidR="006B3C7E">
        <w:t>”</w:t>
      </w:r>
      <w:r w:rsidR="00DA6733">
        <w:t xml:space="preserve"> y </w:t>
      </w:r>
      <w:r w:rsidR="00200B00">
        <w:t xml:space="preserve">hasta </w:t>
      </w:r>
      <w:r w:rsidR="002F2507">
        <w:t>3 (</w:t>
      </w:r>
      <w:r w:rsidR="00DA6733">
        <w:t>tres</w:t>
      </w:r>
      <w:r w:rsidR="002F2507">
        <w:t>) consultas de prevalidación</w:t>
      </w:r>
      <w:r w:rsidR="00DA6733">
        <w:t xml:space="preserve"> de </w:t>
      </w:r>
      <w:r w:rsidR="006B3C7E">
        <w:t xml:space="preserve">“Modalidad, titularidad y cuenta al día”, </w:t>
      </w:r>
      <w:r w:rsidR="00DA6733">
        <w:t xml:space="preserve">para un </w:t>
      </w:r>
      <w:r w:rsidR="006B3C7E">
        <w:t>número telefónico</w:t>
      </w:r>
      <w:r w:rsidR="00DA6733">
        <w:t xml:space="preserve"> determinado en una solicitud de portabilidad sin incurrir en gastos, siempre que las </w:t>
      </w:r>
      <w:r w:rsidR="006B3C7E">
        <w:t>consultas de prevalidación</w:t>
      </w:r>
      <w:r w:rsidR="00DA6733">
        <w:t xml:space="preserve"> sean </w:t>
      </w:r>
      <w:r w:rsidR="00DA6733">
        <w:lastRenderedPageBreak/>
        <w:t>enviadas dentro de</w:t>
      </w:r>
      <w:r w:rsidR="00951521">
        <w:t xml:space="preserve"> </w:t>
      </w:r>
      <w:r w:rsidR="00DA6733">
        <w:t>l</w:t>
      </w:r>
      <w:r w:rsidR="00951521">
        <w:t>os</w:t>
      </w:r>
      <w:r w:rsidR="00DA6733">
        <w:t xml:space="preserve"> </w:t>
      </w:r>
      <w:r w:rsidR="00200B00">
        <w:t>lapso</w:t>
      </w:r>
      <w:r w:rsidR="00951521">
        <w:t>s</w:t>
      </w:r>
      <w:r w:rsidR="00DA6733">
        <w:t xml:space="preserve"> de tiempo</w:t>
      </w:r>
      <w:r w:rsidR="00200B00">
        <w:t xml:space="preserve"> establecido</w:t>
      </w:r>
      <w:r w:rsidR="00951521">
        <w:t>s</w:t>
      </w:r>
      <w:r w:rsidR="00200B00">
        <w:t xml:space="preserve"> al respecto en las Bases Técnicas, numeral </w:t>
      </w:r>
      <w:r w:rsidR="009B6AD5">
        <w:t>2.2</w:t>
      </w:r>
      <w:r w:rsidR="004E4CD2">
        <w:t>.</w:t>
      </w:r>
    </w:p>
    <w:p w14:paraId="20673FB1" w14:textId="77777777" w:rsidR="00160D39" w:rsidRPr="004F60BC" w:rsidRDefault="00DA6733" w:rsidP="00E03CC5">
      <w:pPr>
        <w:ind w:firstLine="0"/>
      </w:pPr>
      <w:r>
        <w:t xml:space="preserve">Si no se cumplen las restricciones </w:t>
      </w:r>
      <w:r w:rsidR="00200B00">
        <w:t>establecidas al respecto en las Bases Técnicas</w:t>
      </w:r>
      <w:r>
        <w:t xml:space="preserve"> o si el Receptor envía más consultas de prevalidación que las </w:t>
      </w:r>
      <w:r w:rsidR="003D31A8">
        <w:t>indicadas</w:t>
      </w:r>
      <w:r>
        <w:t xml:space="preserve"> para un </w:t>
      </w:r>
      <w:r w:rsidR="003D31A8">
        <w:t xml:space="preserve">número telefónico </w:t>
      </w:r>
      <w:r>
        <w:t>específico, el SGP facturará</w:t>
      </w:r>
      <w:r w:rsidR="00160D39" w:rsidRPr="00160D39">
        <w:t xml:space="preserve">, los costos concernientes a las siguientes actividades: </w:t>
      </w:r>
    </w:p>
    <w:p w14:paraId="340321A1" w14:textId="77777777" w:rsidR="00160D39" w:rsidRDefault="00160D39" w:rsidP="00E03CC5">
      <w:pPr>
        <w:pStyle w:val="Listamulticolor-nfasis12"/>
        <w:numPr>
          <w:ilvl w:val="1"/>
          <w:numId w:val="21"/>
        </w:numPr>
        <w:ind w:left="1418"/>
      </w:pPr>
      <w:r w:rsidRPr="00FE661D">
        <w:t>Consultas</w:t>
      </w:r>
    </w:p>
    <w:p w14:paraId="772DEF9B" w14:textId="77777777" w:rsidR="00200B00" w:rsidRDefault="00160D39" w:rsidP="00E03CC5">
      <w:pPr>
        <w:pStyle w:val="Listamulticolor-nfasis12"/>
        <w:numPr>
          <w:ilvl w:val="1"/>
          <w:numId w:val="21"/>
        </w:numPr>
        <w:ind w:left="1418"/>
      </w:pPr>
      <w:r w:rsidRPr="00160D39">
        <w:t xml:space="preserve">Transferencia de datos  </w:t>
      </w:r>
    </w:p>
    <w:p w14:paraId="25DC272A" w14:textId="4CFF4D19" w:rsidR="004F60BC" w:rsidRDefault="00053C76" w:rsidP="004F60BC">
      <w:pPr>
        <w:pStyle w:val="Ttulo2"/>
      </w:pPr>
      <w:bookmarkStart w:id="35" w:name="_Toc166237456"/>
      <w:bookmarkStart w:id="36" w:name="_Toc17298549"/>
      <w:bookmarkStart w:id="37" w:name="_Toc17381538"/>
      <w:bookmarkStart w:id="38" w:name="_Toc17381818"/>
      <w:bookmarkStart w:id="39" w:name="_Toc191544313"/>
      <w:r>
        <w:t>Venta</w:t>
      </w:r>
      <w:r w:rsidR="00F47103" w:rsidRPr="00B86CD2">
        <w:t xml:space="preserve"> de TEP </w:t>
      </w:r>
      <w:r w:rsidR="00AF2DC6">
        <w:t xml:space="preserve">a Terceros Interesados </w:t>
      </w:r>
      <w:r w:rsidR="00F47103" w:rsidRPr="00B86CD2">
        <w:t>(ETEP).</w:t>
      </w:r>
      <w:bookmarkEnd w:id="35"/>
      <w:bookmarkEnd w:id="36"/>
      <w:bookmarkEnd w:id="37"/>
      <w:bookmarkEnd w:id="38"/>
      <w:bookmarkEnd w:id="39"/>
      <w:r w:rsidR="00F47103" w:rsidRPr="00B86CD2">
        <w:t xml:space="preserve"> </w:t>
      </w:r>
    </w:p>
    <w:p w14:paraId="09D74B3B" w14:textId="3E481A99" w:rsidR="00AF2DC6" w:rsidRDefault="003553C0" w:rsidP="001B4314">
      <w:pPr>
        <w:spacing w:after="120"/>
      </w:pPr>
      <w:r>
        <w:t>Corresponde a las actividades</w:t>
      </w:r>
      <w:r w:rsidR="00F47103" w:rsidRPr="00B86CD2">
        <w:t xml:space="preserve"> que permiten la disponibilidad de la información de encaminamiento de números</w:t>
      </w:r>
      <w:r w:rsidR="00053C76">
        <w:t xml:space="preserve"> portados diariamente</w:t>
      </w:r>
      <w:r w:rsidR="00F47103" w:rsidRPr="00B86CD2">
        <w:t xml:space="preserve"> </w:t>
      </w:r>
      <w:r w:rsidR="00053C76">
        <w:t xml:space="preserve">a terceros distintos de los concesionarios del Servicio Público Telefónico Local, </w:t>
      </w:r>
      <w:r w:rsidR="005410BC">
        <w:t>Móvil</w:t>
      </w:r>
      <w:r w:rsidR="00053C76">
        <w:t xml:space="preserve"> o del Mismo Tip</w:t>
      </w:r>
      <w:r w:rsidR="00CA5385">
        <w:t>o</w:t>
      </w:r>
      <w:r w:rsidR="00AF2DC6">
        <w:t xml:space="preserve">, Subsecretaría de Telecomunicaciones, Ministerio Público, Tribunales de Justicia y las Policías, en el ejercicio de las funciones que les son propias (Art. 30 </w:t>
      </w:r>
      <w:r w:rsidR="00822D7A">
        <w:t>del Reglamento</w:t>
      </w:r>
      <w:r w:rsidR="00AF2DC6">
        <w:t>)</w:t>
      </w:r>
      <w:r w:rsidR="00053C76">
        <w:t>.</w:t>
      </w:r>
      <w:r w:rsidR="00AF2DC6">
        <w:t xml:space="preserve"> </w:t>
      </w:r>
    </w:p>
    <w:p w14:paraId="236DC92A" w14:textId="2DD9CF8A" w:rsidR="00F47103" w:rsidRPr="004F60BC" w:rsidRDefault="00AF2DC6" w:rsidP="001B4314">
      <w:pPr>
        <w:spacing w:after="120"/>
      </w:pPr>
      <w:r>
        <w:t>E</w:t>
      </w:r>
      <w:r w:rsidR="00F47103" w:rsidRPr="00B86CD2">
        <w:t>l cobro lo realiza el OAP a quien solicite el acceso a esta información. El precio que se cobre incluirá, a lo menos, los costos concernientes a las siguientes actividades:</w:t>
      </w:r>
    </w:p>
    <w:p w14:paraId="20DB2D46" w14:textId="77777777" w:rsidR="00DA7186" w:rsidRDefault="00F47103" w:rsidP="00B41917">
      <w:pPr>
        <w:pStyle w:val="Listamulticolor-nfasis12"/>
        <w:numPr>
          <w:ilvl w:val="0"/>
          <w:numId w:val="23"/>
        </w:numPr>
      </w:pPr>
      <w:r w:rsidRPr="00B86CD2">
        <w:t>Publicación de TEP</w:t>
      </w:r>
    </w:p>
    <w:p w14:paraId="182FF6E9" w14:textId="28C36486" w:rsidR="00A05E3B" w:rsidRDefault="00DA7186" w:rsidP="00B41917">
      <w:pPr>
        <w:pStyle w:val="Listamulticolor-nfasis12"/>
        <w:numPr>
          <w:ilvl w:val="0"/>
          <w:numId w:val="23"/>
        </w:numPr>
      </w:pPr>
      <w:r>
        <w:t>Co</w:t>
      </w:r>
      <w:r w:rsidR="00A36DAE">
        <w:t>bro por consultas o query a la base de datos.</w:t>
      </w:r>
      <w:r w:rsidR="00F47103" w:rsidRPr="00B86CD2">
        <w:t xml:space="preserve"> </w:t>
      </w:r>
    </w:p>
    <w:p w14:paraId="03201321" w14:textId="03C20251" w:rsidR="00AF2DC6" w:rsidRDefault="00AF2DC6" w:rsidP="00053C76">
      <w:r>
        <w:t>Este precio será aplicable cada vez que un</w:t>
      </w:r>
      <w:r w:rsidR="00A17C52">
        <w:t xml:space="preserve"> tercero</w:t>
      </w:r>
      <w:r>
        <w:t xml:space="preserve"> interesado solicite la tabla</w:t>
      </w:r>
      <w:r w:rsidR="00A17C52">
        <w:t xml:space="preserve"> ETEP</w:t>
      </w:r>
      <w:r w:rsidR="005340D0">
        <w:t xml:space="preserve"> o realice consultas del tipo query a la base de datos</w:t>
      </w:r>
      <w:r>
        <w:t>.</w:t>
      </w:r>
    </w:p>
    <w:p w14:paraId="008A7B3C" w14:textId="77777777" w:rsidR="00053C76" w:rsidRDefault="00053C76" w:rsidP="00053C76">
      <w:r>
        <w:t xml:space="preserve">Todos los precios a que se refiere este punto 3 y que se cobren por las prestaciones antes indicadas, </w:t>
      </w:r>
      <w:r w:rsidR="00D53B75">
        <w:t>estarán expresados en pesos chilenos, más IVA, y</w:t>
      </w:r>
      <w:r w:rsidR="00855862">
        <w:t xml:space="preserve"> </w:t>
      </w:r>
      <w:r>
        <w:t xml:space="preserve">se reajustarán cuatrimestralmente conforme a la variación </w:t>
      </w:r>
      <w:r>
        <w:lastRenderedPageBreak/>
        <w:t>que haya experimentado el Índice de Precios al Consumidor o el mecanismo que lo reemplace.</w:t>
      </w:r>
    </w:p>
    <w:p w14:paraId="5BA660A6" w14:textId="6FADEF9C" w:rsidR="00CE5905" w:rsidRPr="00FC5EC3" w:rsidRDefault="00CE5905" w:rsidP="00053C76">
      <w:r>
        <w:t xml:space="preserve">Las consultas número a número que pueden llevar a cabo los usuarios a través del portal público previsto en el numeral </w:t>
      </w:r>
      <w:r w:rsidR="00951521">
        <w:t>2.5</w:t>
      </w:r>
      <w:r>
        <w:t xml:space="preserve"> de las Bases Técnicas, no conllevarán costo alguno para aqu</w:t>
      </w:r>
      <w:r w:rsidR="001E0914">
        <w:t>e</w:t>
      </w:r>
      <w:r>
        <w:t>llos (gratuitas).</w:t>
      </w:r>
    </w:p>
    <w:p w14:paraId="18D6A574" w14:textId="6A9691D1" w:rsidR="00F47103" w:rsidRPr="000D327A" w:rsidRDefault="00B86811" w:rsidP="000D327A">
      <w:pPr>
        <w:pStyle w:val="Ttulo1"/>
      </w:pPr>
      <w:bookmarkStart w:id="40" w:name="_Toc166237457"/>
      <w:bookmarkStart w:id="41" w:name="_Toc17298550"/>
      <w:bookmarkStart w:id="42" w:name="_Toc17381539"/>
      <w:bookmarkStart w:id="43" w:name="_Toc17381819"/>
      <w:bookmarkStart w:id="44" w:name="_Toc191544314"/>
      <w:r>
        <w:lastRenderedPageBreak/>
        <w:t>Presentación de la Oferta Económica</w:t>
      </w:r>
      <w:bookmarkEnd w:id="40"/>
      <w:bookmarkEnd w:id="41"/>
      <w:bookmarkEnd w:id="42"/>
      <w:bookmarkEnd w:id="43"/>
      <w:bookmarkEnd w:id="44"/>
    </w:p>
    <w:p w14:paraId="7D96221D" w14:textId="77777777" w:rsidR="00F47103" w:rsidRPr="00FC5EC3" w:rsidRDefault="00F47103" w:rsidP="00FC5EC3">
      <w:r w:rsidRPr="00B86CD2">
        <w:t>La oferta económica deberá presentarse de la siguiente forma</w:t>
      </w:r>
      <w:r w:rsidR="00FC5EC3">
        <w:t xml:space="preserve">, utilizando para ello </w:t>
      </w:r>
      <w:r w:rsidR="0012700C">
        <w:t xml:space="preserve">el anexo Nº1, que se encuentra al final de </w:t>
      </w:r>
      <w:r w:rsidR="00242D96">
        <w:t>estas bases económicas.</w:t>
      </w:r>
    </w:p>
    <w:p w14:paraId="03A79D9D" w14:textId="7B9A10F9" w:rsidR="0025335F" w:rsidRDefault="0025335F" w:rsidP="0025335F">
      <w:pPr>
        <w:pStyle w:val="Ttulo2"/>
      </w:pPr>
      <w:bookmarkStart w:id="45" w:name="_Toc166237458"/>
      <w:bookmarkStart w:id="46" w:name="_Toc17298551"/>
      <w:bookmarkStart w:id="47" w:name="_Toc17381540"/>
      <w:bookmarkStart w:id="48" w:name="_Toc17381820"/>
      <w:bookmarkStart w:id="49" w:name="_Toc191544315"/>
      <w:r>
        <w:t>Inversiones</w:t>
      </w:r>
      <w:bookmarkEnd w:id="45"/>
      <w:bookmarkEnd w:id="46"/>
      <w:bookmarkEnd w:id="47"/>
      <w:bookmarkEnd w:id="48"/>
      <w:bookmarkEnd w:id="49"/>
    </w:p>
    <w:p w14:paraId="505632E0" w14:textId="7A82DF5B" w:rsidR="00A25880" w:rsidRPr="006355DA" w:rsidRDefault="00A17C52" w:rsidP="00FF264D">
      <w:r w:rsidRPr="006355DA">
        <w:t>Deberá consignarse en la propuesta económica e</w:t>
      </w:r>
      <w:r w:rsidR="00F47103" w:rsidRPr="006355DA">
        <w:t xml:space="preserve">l monto total asociado a los costos de inversión (INV), que será pagado en </w:t>
      </w:r>
      <w:r w:rsidR="00712990" w:rsidRPr="00031CA0">
        <w:t>10</w:t>
      </w:r>
      <w:r w:rsidR="00031CA0">
        <w:t xml:space="preserve"> (diez)</w:t>
      </w:r>
      <w:r w:rsidR="00712990">
        <w:t xml:space="preserve"> </w:t>
      </w:r>
      <w:r w:rsidR="00F47103" w:rsidRPr="006355DA">
        <w:t xml:space="preserve">cuotas </w:t>
      </w:r>
      <w:r w:rsidR="00CC2E2A" w:rsidRPr="006355DA">
        <w:t>semestrales</w:t>
      </w:r>
      <w:r w:rsidR="00F47103" w:rsidRPr="006355DA">
        <w:t xml:space="preserve"> por </w:t>
      </w:r>
      <w:r w:rsidR="00F74A6F" w:rsidRPr="006355DA">
        <w:t>las concesionarias de servicio público telefónico y del mismo tipo</w:t>
      </w:r>
      <w:r w:rsidR="00F47103" w:rsidRPr="006355DA">
        <w:t xml:space="preserve"> de acuerdo </w:t>
      </w:r>
      <w:r w:rsidR="001E0914">
        <w:t>con</w:t>
      </w:r>
      <w:r w:rsidR="00F47103" w:rsidRPr="006355DA">
        <w:t xml:space="preserve"> lo establecido en la Ley, el Reglamento y estas Bases.</w:t>
      </w:r>
    </w:p>
    <w:p w14:paraId="15EAA6FA" w14:textId="5610FE9C" w:rsidR="00DA6B61" w:rsidRPr="006355DA" w:rsidRDefault="00DA6B61" w:rsidP="00FF264D">
      <w:r w:rsidRPr="006355DA">
        <w:t xml:space="preserve">Sin perjuicio de lo anterior, dichos costos de inversión deberán presentarse </w:t>
      </w:r>
      <w:r w:rsidR="00031CA0">
        <w:t>en forma desagregada</w:t>
      </w:r>
      <w:r w:rsidRPr="006355DA">
        <w:t xml:space="preserve"> </w:t>
      </w:r>
      <w:r w:rsidR="00C3592A" w:rsidRPr="006355DA">
        <w:t xml:space="preserve">según detalle en Anexo N°2 de estas Bases, </w:t>
      </w:r>
      <w:r w:rsidRPr="006355DA">
        <w:t xml:space="preserve">incluyendo partidas de costos en base a distintos componentes de la solución, tales como equipos de red, servidores, habilitación de sitios, personal, etc. </w:t>
      </w:r>
    </w:p>
    <w:p w14:paraId="66147200" w14:textId="77777777" w:rsidR="00A17C52" w:rsidRDefault="00A17C52" w:rsidP="00FF264D">
      <w:r w:rsidRPr="006355DA">
        <w:t>Deberá incluirse una referencia cruzada de estas partidas de costos con la oferta técnica, con indicación del capítulo donde se de</w:t>
      </w:r>
      <w:r w:rsidR="00E57711" w:rsidRPr="006355DA">
        <w:t>s</w:t>
      </w:r>
      <w:r w:rsidRPr="006355DA">
        <w:t xml:space="preserve">criben, para mayor compresión </w:t>
      </w:r>
      <w:r w:rsidRPr="006765D0">
        <w:t xml:space="preserve">de los </w:t>
      </w:r>
      <w:r>
        <w:t>í</w:t>
      </w:r>
      <w:r w:rsidRPr="006765D0">
        <w:t>tems incluidos.</w:t>
      </w:r>
    </w:p>
    <w:p w14:paraId="39665825" w14:textId="7B4D706C" w:rsidR="009F45DD" w:rsidRDefault="00A17C52" w:rsidP="00FF264D">
      <w:r>
        <w:t>Asimismo, deberá ofertarse e</w:t>
      </w:r>
      <w:r w:rsidR="009F45DD">
        <w:t>l valor de la cuota semestral</w:t>
      </w:r>
      <w:r>
        <w:t>,</w:t>
      </w:r>
      <w:r w:rsidR="009F45DD">
        <w:t xml:space="preserve"> </w:t>
      </w:r>
      <w:r>
        <w:t xml:space="preserve">que </w:t>
      </w:r>
      <w:r w:rsidR="009F45DD">
        <w:t>será igual para cada una de las 10</w:t>
      </w:r>
      <w:r w:rsidR="00031CA0">
        <w:t xml:space="preserve"> (diez)</w:t>
      </w:r>
      <w:r w:rsidR="009F45DD">
        <w:t xml:space="preserve"> cuotas a lo largo del contrato</w:t>
      </w:r>
      <w:r w:rsidR="008E456D">
        <w:t>.</w:t>
      </w:r>
    </w:p>
    <w:p w14:paraId="26505DBB" w14:textId="0C936617" w:rsidR="00524DC7" w:rsidRDefault="00A17C52" w:rsidP="003553C0">
      <w:r>
        <w:t>El</w:t>
      </w:r>
      <w:r w:rsidR="00F9107C">
        <w:t xml:space="preserve"> valor</w:t>
      </w:r>
      <w:r>
        <w:t xml:space="preserve"> de la cuota</w:t>
      </w:r>
      <w:r w:rsidR="00F9107C">
        <w:t xml:space="preserve"> semestral </w:t>
      </w:r>
      <w:r>
        <w:t xml:space="preserve">ofertada </w:t>
      </w:r>
      <w:r w:rsidR="00F9107C">
        <w:t>será</w:t>
      </w:r>
      <w:r w:rsidR="009F45DD">
        <w:t xml:space="preserve"> utilizado para la determinación del puntaje </w:t>
      </w:r>
      <w:r w:rsidR="00F9107C">
        <w:t xml:space="preserve">correspondiente al costo de inversión a que hace referencia el Art. 42 del </w:t>
      </w:r>
      <w:r w:rsidR="00822D7A">
        <w:t>Reglamento</w:t>
      </w:r>
      <w:r w:rsidR="00F9107C">
        <w:t>.</w:t>
      </w:r>
    </w:p>
    <w:p w14:paraId="7428A40D" w14:textId="55A5F031" w:rsidR="00DF7F67" w:rsidRPr="00884D5C" w:rsidRDefault="00DF7F67" w:rsidP="00884D5C">
      <w:r>
        <w:lastRenderedPageBreak/>
        <w:t xml:space="preserve">En caso </w:t>
      </w:r>
      <w:r w:rsidR="001E0914">
        <w:t xml:space="preserve">de </w:t>
      </w:r>
      <w:r>
        <w:t xml:space="preserve">que el valor de la cuota semestral presentada </w:t>
      </w:r>
      <w:r w:rsidR="00F9107C">
        <w:t>por los proponen</w:t>
      </w:r>
      <w:r w:rsidR="00423437">
        <w:t xml:space="preserve">tes </w:t>
      </w:r>
      <w:r w:rsidR="00A17C52">
        <w:t xml:space="preserve">supere el valor umbral </w:t>
      </w:r>
      <w:r w:rsidR="00031CA0">
        <w:t>aludido</w:t>
      </w:r>
      <w:r w:rsidR="00A17C52">
        <w:t xml:space="preserve"> en </w:t>
      </w:r>
      <w:r w:rsidR="005410BC">
        <w:t>la sección 5.3</w:t>
      </w:r>
      <w:r w:rsidR="00A17C52">
        <w:t xml:space="preserve"> de las Bases Administrativas, </w:t>
      </w:r>
      <w:r w:rsidR="00F468FC">
        <w:t>se seguirá el procedimiento complementario contemplado en la misma sección de las Bases Admin</w:t>
      </w:r>
      <w:r w:rsidR="00E57711">
        <w:t>i</w:t>
      </w:r>
      <w:r w:rsidR="00F468FC">
        <w:t xml:space="preserve">strativas. </w:t>
      </w:r>
    </w:p>
    <w:p w14:paraId="562A6DBF" w14:textId="5817F7AF" w:rsidR="0025335F" w:rsidRDefault="0025335F" w:rsidP="0025335F">
      <w:pPr>
        <w:pStyle w:val="Ttulo2"/>
      </w:pPr>
      <w:bookmarkStart w:id="50" w:name="_Toc166237459"/>
      <w:bookmarkStart w:id="51" w:name="_Toc17298552"/>
      <w:bookmarkStart w:id="52" w:name="_Toc17381541"/>
      <w:bookmarkStart w:id="53" w:name="_Toc17381821"/>
      <w:bookmarkStart w:id="54" w:name="_Toc191544316"/>
      <w:r>
        <w:t>Precio de las transacciones</w:t>
      </w:r>
      <w:bookmarkEnd w:id="50"/>
      <w:bookmarkEnd w:id="51"/>
      <w:bookmarkEnd w:id="52"/>
      <w:bookmarkEnd w:id="53"/>
      <w:bookmarkEnd w:id="54"/>
    </w:p>
    <w:p w14:paraId="34C12F4D" w14:textId="77777777" w:rsidR="00F47103" w:rsidRPr="00B86CD2" w:rsidRDefault="00F47103" w:rsidP="0025335F">
      <w:r w:rsidRPr="00B86CD2">
        <w:t xml:space="preserve">El precio de cada una de las </w:t>
      </w:r>
      <w:r w:rsidR="009450C8" w:rsidRPr="00B86CD2">
        <w:t>transacciones estará</w:t>
      </w:r>
      <w:r w:rsidR="00657CB7">
        <w:t xml:space="preserve"> basado en las actividad</w:t>
      </w:r>
      <w:r w:rsidR="005410BC">
        <w:t>e</w:t>
      </w:r>
      <w:r w:rsidR="00657CB7">
        <w:t xml:space="preserve">s indicadas en el punto 3 </w:t>
      </w:r>
      <w:r w:rsidRPr="00B86CD2">
        <w:t xml:space="preserve">de estas </w:t>
      </w:r>
      <w:r w:rsidR="005410BC" w:rsidRPr="00447982">
        <w:t>B</w:t>
      </w:r>
      <w:r w:rsidRPr="00447982">
        <w:t xml:space="preserve">ases </w:t>
      </w:r>
      <w:r w:rsidR="005410BC" w:rsidRPr="00447982">
        <w:t>E</w:t>
      </w:r>
      <w:r w:rsidRPr="00447982">
        <w:t>conómicas</w:t>
      </w:r>
      <w:r w:rsidRPr="00B86CD2">
        <w:t>.</w:t>
      </w:r>
    </w:p>
    <w:p w14:paraId="72405A90" w14:textId="6B72736F" w:rsidR="00242D96" w:rsidRDefault="00C40AD6" w:rsidP="00FF264D">
      <w:pPr>
        <w:rPr>
          <w:lang w:val="es-ES_tradnl"/>
        </w:rPr>
      </w:pPr>
      <w:r w:rsidRPr="00B86CD2">
        <w:rPr>
          <w:lang w:val="es-ES_tradnl"/>
        </w:rPr>
        <w:t xml:space="preserve">De acuerdo </w:t>
      </w:r>
      <w:r w:rsidR="001E0914">
        <w:rPr>
          <w:lang w:val="es-ES_tradnl"/>
        </w:rPr>
        <w:t>con</w:t>
      </w:r>
      <w:r w:rsidRPr="00B86CD2">
        <w:rPr>
          <w:lang w:val="es-ES_tradnl"/>
        </w:rPr>
        <w:t xml:space="preserve"> lo establecido en el artículo 45° del Reglamento, la </w:t>
      </w:r>
      <w:r w:rsidRPr="00242D96">
        <w:rPr>
          <w:lang w:val="es-ES_tradnl"/>
        </w:rPr>
        <w:t>transacción “</w:t>
      </w:r>
      <w:r w:rsidRPr="00242D96">
        <w:rPr>
          <w:i/>
          <w:lang w:val="es-ES_tradnl"/>
        </w:rPr>
        <w:t xml:space="preserve">Procesamiento de una solicitud de portabilidad de un número </w:t>
      </w:r>
      <w:r w:rsidR="00750961">
        <w:rPr>
          <w:i/>
          <w:lang w:val="es-ES_tradnl"/>
        </w:rPr>
        <w:t xml:space="preserve">                                                      </w:t>
      </w:r>
      <w:r w:rsidR="003973C9">
        <w:rPr>
          <w:i/>
          <w:lang w:val="es-ES_tradnl"/>
        </w:rPr>
        <w:t>(</w:t>
      </w:r>
      <w:r w:rsidRPr="003973C9">
        <w:rPr>
          <w:i/>
          <w:shd w:val="clear" w:color="auto" w:fill="FFFFFF" w:themeFill="background1"/>
          <w:lang w:val="es-ES_tradnl"/>
        </w:rPr>
        <w:t>AP)”,</w:t>
      </w:r>
      <w:r w:rsidRPr="00242D96">
        <w:rPr>
          <w:lang w:val="es-ES_tradnl"/>
        </w:rPr>
        <w:t xml:space="preserve"> no podrá resultar en un precio superior</w:t>
      </w:r>
      <w:r w:rsidR="00242D96" w:rsidRPr="00DC2B95">
        <w:rPr>
          <w:lang w:val="es-ES_tradnl"/>
        </w:rPr>
        <w:t xml:space="preserve"> al umbral </w:t>
      </w:r>
      <w:r w:rsidR="00031CA0">
        <w:t>aludido en la sección 5.3 de las Bases Administrativas.</w:t>
      </w:r>
    </w:p>
    <w:p w14:paraId="29DF2BFE" w14:textId="638F321B" w:rsidR="00F47103" w:rsidRDefault="00657CB7" w:rsidP="00FF264D">
      <w:r>
        <w:t>El precio de la transacción</w:t>
      </w:r>
      <w:r w:rsidR="00F47103" w:rsidRPr="00B86CD2">
        <w:t xml:space="preserve"> “Proceso de Reversión de un Proceso de Portabilidad (RP)” deberán </w:t>
      </w:r>
      <w:r w:rsidR="009450C8" w:rsidRPr="00B86CD2">
        <w:t>ser equivalente</w:t>
      </w:r>
      <w:r>
        <w:t xml:space="preserve"> a dos veces en precio de la transacción “Procesamiento de una solicitud de portabilidad de un número</w:t>
      </w:r>
      <w:r w:rsidR="004E1187">
        <w:t xml:space="preserve"> (</w:t>
      </w:r>
      <w:r w:rsidR="004E1187" w:rsidRPr="001E3F43">
        <w:t>AP</w:t>
      </w:r>
      <w:r w:rsidR="004E1187">
        <w:t>)</w:t>
      </w:r>
      <w:r>
        <w:t>”</w:t>
      </w:r>
      <w:r w:rsidR="00F47103" w:rsidRPr="00B86CD2">
        <w:t>.</w:t>
      </w:r>
    </w:p>
    <w:p w14:paraId="71A7757B" w14:textId="77777777" w:rsidR="00FF264D" w:rsidRDefault="00D07DA0" w:rsidP="00FF264D">
      <w:r>
        <w:t>Por su parte, e</w:t>
      </w:r>
      <w:r w:rsidR="00FF264D">
        <w:t xml:space="preserve">l precio de una consulta de </w:t>
      </w:r>
      <w:r w:rsidR="00F468FC">
        <w:t>prevalidación sin solic</w:t>
      </w:r>
      <w:r w:rsidR="00B72E80">
        <w:t>i</w:t>
      </w:r>
      <w:r w:rsidR="00F468FC">
        <w:t>tud (sección 3.3 anterior)</w:t>
      </w:r>
      <w:r>
        <w:t xml:space="preserve"> (CP)</w:t>
      </w:r>
      <w:r w:rsidR="00FF264D">
        <w:t>, deberá corresponder al 30% del precio del procesamiento de una solicitud (AP).</w:t>
      </w:r>
    </w:p>
    <w:p w14:paraId="69AE62FD" w14:textId="683FC386" w:rsidR="002C05E3" w:rsidRDefault="002C05E3" w:rsidP="002C05E3">
      <w:r>
        <w:t xml:space="preserve">Del mismo modo, el precio de la entrega de la base de datos a terceros (ETEP), en las condiciones que indica el Reglamento, equivaldrá al precio del procesamiento </w:t>
      </w:r>
      <w:r w:rsidR="00AE7D12">
        <w:t xml:space="preserve">máximo </w:t>
      </w:r>
      <w:r>
        <w:t xml:space="preserve">de </w:t>
      </w:r>
      <w:r w:rsidR="00AE7D12">
        <w:t>2</w:t>
      </w:r>
      <w:r>
        <w:t>00 solicitudes (AP)</w:t>
      </w:r>
      <w:r w:rsidR="000B09A0">
        <w:t>.</w:t>
      </w:r>
    </w:p>
    <w:p w14:paraId="442C3E4A" w14:textId="77777777" w:rsidR="00F47103" w:rsidRPr="003973C9" w:rsidRDefault="00F47103" w:rsidP="000D327A">
      <w:r w:rsidRPr="003973C9">
        <w:t xml:space="preserve">No se aceptarán cargos por conceptos diferentes a los establecidos en el </w:t>
      </w:r>
      <w:r w:rsidR="00657CB7" w:rsidRPr="003973C9">
        <w:t>punto 3</w:t>
      </w:r>
      <w:r w:rsidRPr="003973C9">
        <w:t xml:space="preserve"> de las presentes bases económicas.</w:t>
      </w:r>
    </w:p>
    <w:p w14:paraId="705E7C0A" w14:textId="414F0A16" w:rsidR="00F47103" w:rsidRPr="003973C9" w:rsidRDefault="000D327A" w:rsidP="000D327A">
      <w:pPr>
        <w:pStyle w:val="Ttulo1"/>
      </w:pPr>
      <w:r w:rsidRPr="003973C9">
        <w:lastRenderedPageBreak/>
        <w:tab/>
      </w:r>
      <w:bookmarkStart w:id="55" w:name="_Toc166237460"/>
      <w:bookmarkStart w:id="56" w:name="_Toc17298553"/>
      <w:bookmarkStart w:id="57" w:name="_Toc17381542"/>
      <w:bookmarkStart w:id="58" w:name="_Toc17381822"/>
      <w:bookmarkStart w:id="59" w:name="_Toc191544317"/>
      <w:r w:rsidR="00B86811" w:rsidRPr="003973C9">
        <w:t>Evaluación de la Oferta Económica</w:t>
      </w:r>
      <w:bookmarkEnd w:id="55"/>
      <w:bookmarkEnd w:id="56"/>
      <w:bookmarkEnd w:id="57"/>
      <w:bookmarkEnd w:id="58"/>
      <w:bookmarkEnd w:id="59"/>
    </w:p>
    <w:p w14:paraId="73C97FB2" w14:textId="6BA6B102" w:rsidR="000D327A" w:rsidRPr="003973C9" w:rsidRDefault="000D327A" w:rsidP="000D327A">
      <w:pPr>
        <w:pStyle w:val="Ttulo2"/>
      </w:pPr>
      <w:bookmarkStart w:id="60" w:name="_Toc166237461"/>
      <w:bookmarkStart w:id="61" w:name="_Toc17298554"/>
      <w:bookmarkStart w:id="62" w:name="_Toc17381543"/>
      <w:bookmarkStart w:id="63" w:name="_Toc17381823"/>
      <w:bookmarkStart w:id="64" w:name="_Toc191544318"/>
      <w:r w:rsidRPr="003973C9">
        <w:t>Asignación de Puntaje</w:t>
      </w:r>
      <w:bookmarkEnd w:id="60"/>
      <w:bookmarkEnd w:id="61"/>
      <w:bookmarkEnd w:id="62"/>
      <w:bookmarkEnd w:id="63"/>
      <w:bookmarkEnd w:id="64"/>
    </w:p>
    <w:p w14:paraId="1434B771" w14:textId="77777777" w:rsidR="009D247B" w:rsidRPr="003973C9" w:rsidRDefault="00F47103">
      <w:pPr>
        <w:spacing w:after="120"/>
        <w:rPr>
          <w:szCs w:val="24"/>
        </w:rPr>
      </w:pPr>
      <w:r w:rsidRPr="003973C9">
        <w:t xml:space="preserve">Para efectos de la evaluación de las ofertas económicas, se asignará </w:t>
      </w:r>
      <w:r w:rsidRPr="003973C9">
        <w:rPr>
          <w:szCs w:val="24"/>
        </w:rPr>
        <w:t>un puntaje normalizado de la siguiente forma:</w:t>
      </w:r>
    </w:p>
    <w:p w14:paraId="456E338E" w14:textId="6864EA89" w:rsidR="009D247B" w:rsidRPr="003973C9" w:rsidRDefault="00625489">
      <w:pPr>
        <w:pStyle w:val="Listamulticolor-nfasis12"/>
        <w:numPr>
          <w:ilvl w:val="0"/>
          <w:numId w:val="28"/>
        </w:numPr>
      </w:pPr>
      <w:r w:rsidRPr="003973C9">
        <w:t>Puntaje normalizado, INVN</w:t>
      </w:r>
      <w:r w:rsidRPr="003973C9">
        <w:rPr>
          <w:vertAlign w:val="subscript"/>
        </w:rPr>
        <w:t>i</w:t>
      </w:r>
      <w:r w:rsidRPr="003973C9">
        <w:t>, para el monto asociado a la cuota semestral de la inversión será igual al valor INV</w:t>
      </w:r>
      <w:r w:rsidRPr="003973C9">
        <w:rPr>
          <w:vertAlign w:val="subscript"/>
        </w:rPr>
        <w:t>mín</w:t>
      </w:r>
      <w:r w:rsidRPr="003973C9">
        <w:t xml:space="preserve"> de la oferta de menor valor dividido por el valor INV</w:t>
      </w:r>
      <w:r w:rsidRPr="003973C9">
        <w:rPr>
          <w:vertAlign w:val="subscript"/>
        </w:rPr>
        <w:t>i</w:t>
      </w:r>
      <w:r w:rsidRPr="003973C9">
        <w:t xml:space="preserve"> de la oferta i</w:t>
      </w:r>
      <w:r w:rsidRPr="003973C9">
        <w:noBreakHyphen/>
        <w:t xml:space="preserve">ésima analizada, multiplicado por </w:t>
      </w:r>
      <w:r w:rsidR="004E1187" w:rsidRPr="003973C9">
        <w:t>400</w:t>
      </w:r>
      <w:r w:rsidRPr="003973C9">
        <w:t>.</w:t>
      </w:r>
      <w:r w:rsidR="00454059">
        <w:t xml:space="preserve"> El INVi debe ser un valor mayor que 0.</w:t>
      </w:r>
    </w:p>
    <w:p w14:paraId="2FBCAFB2" w14:textId="0A0510F0" w:rsidR="009D247B" w:rsidRPr="003973C9" w:rsidRDefault="00625489">
      <w:pPr>
        <w:pStyle w:val="Listamulticolor-nfasis11"/>
        <w:spacing w:after="120"/>
        <w:ind w:left="0"/>
        <w:jc w:val="center"/>
        <w:rPr>
          <w:szCs w:val="24"/>
        </w:rPr>
      </w:pPr>
      <w:r w:rsidRPr="003973C9">
        <w:rPr>
          <w:szCs w:val="24"/>
        </w:rPr>
        <w:t>INVN</w:t>
      </w:r>
      <w:r w:rsidRPr="003973C9">
        <w:rPr>
          <w:szCs w:val="24"/>
          <w:vertAlign w:val="subscript"/>
        </w:rPr>
        <w:t>i</w:t>
      </w:r>
      <w:r w:rsidR="004855AB" w:rsidRPr="003973C9">
        <w:rPr>
          <w:szCs w:val="24"/>
          <w:vertAlign w:val="subscript"/>
        </w:rPr>
        <w:t xml:space="preserve"> </w:t>
      </w:r>
      <w:r w:rsidRPr="003973C9">
        <w:rPr>
          <w:szCs w:val="24"/>
        </w:rPr>
        <w:t>=</w:t>
      </w:r>
      <w:r w:rsidR="004855AB" w:rsidRPr="003973C9">
        <w:rPr>
          <w:szCs w:val="24"/>
        </w:rPr>
        <w:t xml:space="preserve"> </w:t>
      </w:r>
      <w:r w:rsidRPr="003973C9">
        <w:rPr>
          <w:szCs w:val="24"/>
        </w:rPr>
        <w:t>(INV</w:t>
      </w:r>
      <w:r w:rsidRPr="003973C9">
        <w:rPr>
          <w:szCs w:val="24"/>
          <w:vertAlign w:val="subscript"/>
        </w:rPr>
        <w:t>mín</w:t>
      </w:r>
      <w:r w:rsidRPr="003973C9">
        <w:rPr>
          <w:szCs w:val="24"/>
        </w:rPr>
        <w:t>/INV</w:t>
      </w:r>
      <w:r w:rsidRPr="003973C9">
        <w:rPr>
          <w:szCs w:val="24"/>
          <w:vertAlign w:val="subscript"/>
        </w:rPr>
        <w:t>i</w:t>
      </w:r>
      <w:r w:rsidRPr="003973C9">
        <w:rPr>
          <w:szCs w:val="24"/>
        </w:rPr>
        <w:t>)*</w:t>
      </w:r>
      <w:r w:rsidR="00AD0D31" w:rsidRPr="003973C9">
        <w:rPr>
          <w:szCs w:val="24"/>
        </w:rPr>
        <w:t>4</w:t>
      </w:r>
      <w:r w:rsidRPr="003973C9">
        <w:rPr>
          <w:szCs w:val="24"/>
        </w:rPr>
        <w:t>00</w:t>
      </w:r>
    </w:p>
    <w:p w14:paraId="74AD02B9" w14:textId="77777777" w:rsidR="00FC454A" w:rsidRPr="003973C9" w:rsidRDefault="00FC454A">
      <w:pPr>
        <w:pStyle w:val="Listamulticolor-nfasis11"/>
        <w:spacing w:after="120"/>
        <w:ind w:left="0"/>
        <w:jc w:val="center"/>
        <w:rPr>
          <w:szCs w:val="24"/>
        </w:rPr>
      </w:pPr>
    </w:p>
    <w:p w14:paraId="43F9A778" w14:textId="7B378BDB" w:rsidR="00FF364F" w:rsidRPr="003973C9" w:rsidRDefault="00F47103" w:rsidP="00FF364F">
      <w:pPr>
        <w:pStyle w:val="Listamulticolor-nfasis12"/>
        <w:numPr>
          <w:ilvl w:val="0"/>
          <w:numId w:val="28"/>
        </w:numPr>
      </w:pPr>
      <w:r w:rsidRPr="003973C9">
        <w:rPr>
          <w:szCs w:val="24"/>
        </w:rPr>
        <w:t>Puntaje normalizado, APN</w:t>
      </w:r>
      <w:r w:rsidRPr="003973C9">
        <w:rPr>
          <w:szCs w:val="24"/>
          <w:vertAlign w:val="subscript"/>
        </w:rPr>
        <w:t>i</w:t>
      </w:r>
      <w:r w:rsidRPr="003973C9">
        <w:rPr>
          <w:szCs w:val="24"/>
        </w:rPr>
        <w:t>, para el monto asociado a los costos de explotación será igual al valor AP</w:t>
      </w:r>
      <w:r w:rsidRPr="003973C9">
        <w:rPr>
          <w:szCs w:val="24"/>
          <w:vertAlign w:val="subscript"/>
        </w:rPr>
        <w:t>mín</w:t>
      </w:r>
      <w:r w:rsidRPr="003973C9">
        <w:rPr>
          <w:szCs w:val="24"/>
        </w:rPr>
        <w:t xml:space="preserve"> de la oferta de m</w:t>
      </w:r>
      <w:r w:rsidR="00625489" w:rsidRPr="003973C9">
        <w:rPr>
          <w:szCs w:val="24"/>
        </w:rPr>
        <w:t>enor valor dividido por el valor AP</w:t>
      </w:r>
      <w:r w:rsidR="00625489" w:rsidRPr="003973C9">
        <w:rPr>
          <w:szCs w:val="24"/>
          <w:vertAlign w:val="subscript"/>
        </w:rPr>
        <w:t>i</w:t>
      </w:r>
      <w:r w:rsidR="00625489" w:rsidRPr="003973C9">
        <w:rPr>
          <w:szCs w:val="24"/>
        </w:rPr>
        <w:t xml:space="preserve"> de la i</w:t>
      </w:r>
      <w:r w:rsidR="00625489" w:rsidRPr="003973C9">
        <w:rPr>
          <w:szCs w:val="24"/>
        </w:rPr>
        <w:noBreakHyphen/>
        <w:t xml:space="preserve">ésima oferta analizada, multiplicado por </w:t>
      </w:r>
      <w:r w:rsidR="004E1187" w:rsidRPr="003973C9">
        <w:rPr>
          <w:szCs w:val="24"/>
        </w:rPr>
        <w:t>400</w:t>
      </w:r>
      <w:r w:rsidR="00625489" w:rsidRPr="003973C9">
        <w:rPr>
          <w:szCs w:val="24"/>
        </w:rPr>
        <w:t>.</w:t>
      </w:r>
      <w:r w:rsidR="00FF364F">
        <w:rPr>
          <w:szCs w:val="24"/>
        </w:rPr>
        <w:t xml:space="preserve"> </w:t>
      </w:r>
      <w:r w:rsidR="00FF364F">
        <w:t>El APi debe ser un valor mayor que 0.</w:t>
      </w:r>
    </w:p>
    <w:p w14:paraId="5633118C" w14:textId="75ACDA84" w:rsidR="009D247B" w:rsidRPr="003973C9" w:rsidRDefault="00625489">
      <w:pPr>
        <w:spacing w:after="120"/>
        <w:ind w:firstLine="291"/>
        <w:jc w:val="center"/>
        <w:rPr>
          <w:szCs w:val="24"/>
        </w:rPr>
      </w:pPr>
      <w:r w:rsidRPr="003973C9">
        <w:rPr>
          <w:szCs w:val="24"/>
        </w:rPr>
        <w:t>APN</w:t>
      </w:r>
      <w:r w:rsidRPr="003973C9">
        <w:rPr>
          <w:szCs w:val="24"/>
          <w:vertAlign w:val="subscript"/>
        </w:rPr>
        <w:t>i</w:t>
      </w:r>
      <w:r w:rsidR="004855AB" w:rsidRPr="003973C9">
        <w:rPr>
          <w:szCs w:val="24"/>
          <w:vertAlign w:val="subscript"/>
        </w:rPr>
        <w:t xml:space="preserve"> </w:t>
      </w:r>
      <w:r w:rsidRPr="003973C9">
        <w:rPr>
          <w:szCs w:val="24"/>
        </w:rPr>
        <w:t>= (AP</w:t>
      </w:r>
      <w:r w:rsidRPr="003973C9">
        <w:rPr>
          <w:szCs w:val="24"/>
          <w:vertAlign w:val="subscript"/>
        </w:rPr>
        <w:t>mín</w:t>
      </w:r>
      <w:r w:rsidRPr="003973C9">
        <w:rPr>
          <w:szCs w:val="24"/>
        </w:rPr>
        <w:t>/ AP</w:t>
      </w:r>
      <w:r w:rsidRPr="003973C9">
        <w:rPr>
          <w:szCs w:val="24"/>
          <w:vertAlign w:val="subscript"/>
        </w:rPr>
        <w:t>i</w:t>
      </w:r>
      <w:r w:rsidRPr="003973C9">
        <w:rPr>
          <w:szCs w:val="24"/>
        </w:rPr>
        <w:t>)*</w:t>
      </w:r>
      <w:r w:rsidR="00AD0D31" w:rsidRPr="003973C9">
        <w:rPr>
          <w:szCs w:val="24"/>
        </w:rPr>
        <w:t>4</w:t>
      </w:r>
      <w:r w:rsidRPr="003973C9">
        <w:rPr>
          <w:szCs w:val="24"/>
        </w:rPr>
        <w:t>00</w:t>
      </w:r>
    </w:p>
    <w:p w14:paraId="00350539" w14:textId="77777777" w:rsidR="00FC454A" w:rsidRPr="003973C9" w:rsidRDefault="00FC454A">
      <w:pPr>
        <w:spacing w:after="120"/>
        <w:ind w:firstLine="291"/>
        <w:jc w:val="center"/>
        <w:rPr>
          <w:szCs w:val="24"/>
        </w:rPr>
      </w:pPr>
    </w:p>
    <w:p w14:paraId="0D161BA0" w14:textId="7B8E1FB0" w:rsidR="009D247B" w:rsidRPr="003973C9" w:rsidRDefault="00F47103">
      <w:pPr>
        <w:spacing w:after="120"/>
      </w:pPr>
      <w:r w:rsidRPr="003973C9">
        <w:rPr>
          <w:szCs w:val="24"/>
        </w:rPr>
        <w:t xml:space="preserve">De esta manera, la </w:t>
      </w:r>
      <w:r w:rsidRPr="003973C9">
        <w:t xml:space="preserve">oferta con menor monto asociado a la inversión tendrá el puntaje máximo de </w:t>
      </w:r>
      <w:r w:rsidR="00AD0D31" w:rsidRPr="003973C9">
        <w:t>4</w:t>
      </w:r>
      <w:r w:rsidRPr="003973C9">
        <w:t xml:space="preserve">00 puntos en ese ítem y la oferta con menor valor por transacción tendrá el puntaje máximo de </w:t>
      </w:r>
      <w:r w:rsidR="00AD0D31" w:rsidRPr="003973C9">
        <w:t>4</w:t>
      </w:r>
      <w:r w:rsidRPr="003973C9">
        <w:t>00 puntos en dicho ítem.</w:t>
      </w:r>
    </w:p>
    <w:p w14:paraId="242E7A48" w14:textId="0F8466E2" w:rsidR="00581566" w:rsidRPr="003973C9" w:rsidRDefault="00581566" w:rsidP="000D327A">
      <w:r w:rsidRPr="003973C9">
        <w:t xml:space="preserve">En caso de empate entre dos o más proponentes resolverá el </w:t>
      </w:r>
      <w:r w:rsidR="007F188A">
        <w:t>Comité</w:t>
      </w:r>
      <w:r w:rsidRPr="003973C9">
        <w:t>.</w:t>
      </w:r>
    </w:p>
    <w:p w14:paraId="2615E401" w14:textId="32134FE3" w:rsidR="000D327A" w:rsidRPr="003973C9" w:rsidRDefault="000D327A" w:rsidP="000D327A">
      <w:pPr>
        <w:pStyle w:val="Ttulo2"/>
      </w:pPr>
      <w:bookmarkStart w:id="65" w:name="_Toc166237462"/>
      <w:bookmarkStart w:id="66" w:name="_Toc423702838"/>
      <w:bookmarkStart w:id="67" w:name="_Toc17298555"/>
      <w:bookmarkStart w:id="68" w:name="_Toc17381544"/>
      <w:bookmarkStart w:id="69" w:name="_Toc17381824"/>
      <w:bookmarkStart w:id="70" w:name="_Toc191544319"/>
      <w:r w:rsidRPr="003973C9">
        <w:lastRenderedPageBreak/>
        <w:t>Puntaje total</w:t>
      </w:r>
      <w:bookmarkEnd w:id="65"/>
      <w:r w:rsidR="00C11075" w:rsidRPr="003973C9">
        <w:t xml:space="preserve"> de la Oferta Económica</w:t>
      </w:r>
      <w:bookmarkEnd w:id="66"/>
      <w:bookmarkEnd w:id="67"/>
      <w:bookmarkEnd w:id="68"/>
      <w:bookmarkEnd w:id="69"/>
      <w:bookmarkEnd w:id="70"/>
    </w:p>
    <w:p w14:paraId="30D8CC60" w14:textId="0DC03110" w:rsidR="00F47103" w:rsidRPr="003973C9" w:rsidRDefault="00F47103" w:rsidP="009331DC">
      <w:pPr>
        <w:rPr>
          <w:szCs w:val="24"/>
        </w:rPr>
      </w:pPr>
      <w:r w:rsidRPr="003973C9">
        <w:t>El puntaje final de la oferta económica analizada, PFOE</w:t>
      </w:r>
      <w:r w:rsidRPr="003973C9">
        <w:rPr>
          <w:vertAlign w:val="subscript"/>
        </w:rPr>
        <w:t>i</w:t>
      </w:r>
      <w:r w:rsidRPr="003973C9">
        <w:t xml:space="preserve">, se calculará de la </w:t>
      </w:r>
      <w:r w:rsidRPr="003973C9">
        <w:rPr>
          <w:szCs w:val="24"/>
        </w:rPr>
        <w:t>siguiente forma</w:t>
      </w:r>
      <w:r w:rsidR="00625489" w:rsidRPr="003973C9">
        <w:rPr>
          <w:szCs w:val="24"/>
        </w:rPr>
        <w:t xml:space="preserve">, conforme a lo dispuesto en el Art. 42 inciso final del </w:t>
      </w:r>
      <w:r w:rsidR="00E342E8">
        <w:rPr>
          <w:szCs w:val="24"/>
        </w:rPr>
        <w:t>Reglamento</w:t>
      </w:r>
      <w:r w:rsidRPr="003973C9">
        <w:rPr>
          <w:szCs w:val="24"/>
        </w:rPr>
        <w:t>:</w:t>
      </w:r>
    </w:p>
    <w:p w14:paraId="08253E15" w14:textId="16129CDA" w:rsidR="004855AB" w:rsidRPr="003973C9" w:rsidRDefault="004855AB" w:rsidP="00FC454A">
      <w:pPr>
        <w:jc w:val="center"/>
        <w:rPr>
          <w:szCs w:val="24"/>
          <w:vertAlign w:val="subscript"/>
        </w:rPr>
      </w:pPr>
      <w:r w:rsidRPr="003973C9">
        <w:rPr>
          <w:szCs w:val="24"/>
        </w:rPr>
        <w:t>PFOE</w:t>
      </w:r>
      <w:r w:rsidRPr="003973C9">
        <w:rPr>
          <w:szCs w:val="24"/>
          <w:vertAlign w:val="subscript"/>
        </w:rPr>
        <w:t>i</w:t>
      </w:r>
      <w:r w:rsidRPr="003973C9">
        <w:rPr>
          <w:szCs w:val="24"/>
        </w:rPr>
        <w:t xml:space="preserve"> = </w:t>
      </w:r>
      <w:r w:rsidR="00DE4150" w:rsidRPr="003973C9">
        <w:rPr>
          <w:szCs w:val="24"/>
        </w:rPr>
        <w:t>3</w:t>
      </w:r>
      <w:r w:rsidRPr="003973C9">
        <w:rPr>
          <w:szCs w:val="24"/>
        </w:rPr>
        <w:t>0%* INVN</w:t>
      </w:r>
      <w:r w:rsidRPr="003973C9">
        <w:rPr>
          <w:szCs w:val="24"/>
          <w:vertAlign w:val="subscript"/>
        </w:rPr>
        <w:t>i</w:t>
      </w:r>
      <w:r w:rsidRPr="003973C9">
        <w:rPr>
          <w:szCs w:val="24"/>
        </w:rPr>
        <w:t xml:space="preserve"> + </w:t>
      </w:r>
      <w:r w:rsidR="00DE4150" w:rsidRPr="003973C9">
        <w:rPr>
          <w:szCs w:val="24"/>
        </w:rPr>
        <w:t>7</w:t>
      </w:r>
      <w:r w:rsidRPr="003973C9">
        <w:rPr>
          <w:szCs w:val="24"/>
        </w:rPr>
        <w:t xml:space="preserve">0% * </w:t>
      </w:r>
      <w:bookmarkStart w:id="71" w:name="_Toc423702839"/>
      <w:r w:rsidRPr="003973C9">
        <w:rPr>
          <w:szCs w:val="24"/>
        </w:rPr>
        <w:t>APN</w:t>
      </w:r>
      <w:r w:rsidRPr="003973C9">
        <w:rPr>
          <w:szCs w:val="24"/>
          <w:vertAlign w:val="subscript"/>
        </w:rPr>
        <w:t>i</w:t>
      </w:r>
    </w:p>
    <w:p w14:paraId="674EECEC" w14:textId="6B576424" w:rsidR="00AD0D31" w:rsidRPr="00AD0D31" w:rsidRDefault="00AD0D31" w:rsidP="00AD0D31">
      <w:pPr>
        <w:jc w:val="left"/>
        <w:rPr>
          <w:szCs w:val="24"/>
        </w:rPr>
      </w:pPr>
      <w:r w:rsidRPr="003973C9">
        <w:rPr>
          <w:szCs w:val="24"/>
        </w:rPr>
        <w:t>Luego, y tal como se indica en las bases administrativas, el puntaje máximo que obtendrá la mejor oferta económica es de 400 puntos.</w:t>
      </w:r>
    </w:p>
    <w:p w14:paraId="44096449" w14:textId="250B4978" w:rsidR="00AD0D31" w:rsidRPr="00F82BD3" w:rsidRDefault="00AD0D31" w:rsidP="00AD0D31">
      <w:pPr>
        <w:jc w:val="left"/>
        <w:rPr>
          <w:szCs w:val="24"/>
        </w:rPr>
      </w:pPr>
    </w:p>
    <w:p w14:paraId="17CB5421" w14:textId="0A6C20DD" w:rsidR="00F47103" w:rsidRPr="000D327A" w:rsidRDefault="00B86811" w:rsidP="000D327A">
      <w:pPr>
        <w:pStyle w:val="Ttulo1"/>
      </w:pPr>
      <w:bookmarkStart w:id="72" w:name="_Toc166237463"/>
      <w:bookmarkStart w:id="73" w:name="_Toc17298556"/>
      <w:bookmarkStart w:id="74" w:name="_Toc17381545"/>
      <w:bookmarkStart w:id="75" w:name="_Toc17381825"/>
      <w:bookmarkStart w:id="76" w:name="_Toc191544320"/>
      <w:r>
        <w:lastRenderedPageBreak/>
        <w:t>Procedimiento Complementario</w:t>
      </w:r>
      <w:bookmarkEnd w:id="71"/>
      <w:bookmarkEnd w:id="72"/>
      <w:bookmarkEnd w:id="73"/>
      <w:bookmarkEnd w:id="74"/>
      <w:bookmarkEnd w:id="75"/>
      <w:bookmarkEnd w:id="76"/>
    </w:p>
    <w:p w14:paraId="6E67436D" w14:textId="2BCBF421" w:rsidR="009D247B" w:rsidRDefault="00F47103">
      <w:pPr>
        <w:spacing w:after="120"/>
      </w:pPr>
      <w:r w:rsidRPr="00B8531D">
        <w:t xml:space="preserve">En el evento que ninguna </w:t>
      </w:r>
      <w:r w:rsidR="005C4195">
        <w:t xml:space="preserve">de las </w:t>
      </w:r>
      <w:r w:rsidR="00A97CE4">
        <w:t>propuesta</w:t>
      </w:r>
      <w:r w:rsidR="005C4195">
        <w:t xml:space="preserve">s cumpla la condición de fijar sus precios por debajo del umbral respectivo de </w:t>
      </w:r>
      <w:r w:rsidRPr="00B8531D">
        <w:t>“Procesamiento de una solicitud de portabilidad de un número (AP)”</w:t>
      </w:r>
      <w:r w:rsidR="005C4195">
        <w:t xml:space="preserve"> y</w:t>
      </w:r>
      <w:r w:rsidR="00F15BFC">
        <w:t xml:space="preserve"> </w:t>
      </w:r>
      <w:r w:rsidR="005C4195">
        <w:t>“Cuota semestral que refleja el costo de inversión”</w:t>
      </w:r>
      <w:r w:rsidRPr="00B8531D">
        <w:t>,</w:t>
      </w:r>
      <w:r w:rsidR="005C4195">
        <w:t xml:space="preserve"> </w:t>
      </w:r>
      <w:r w:rsidR="004920C8">
        <w:t xml:space="preserve">de manera que se sobrepase uno cualquiera de los umbrales señalados, </w:t>
      </w:r>
      <w:r w:rsidR="005C4195">
        <w:t>se procederá de acu</w:t>
      </w:r>
      <w:r w:rsidR="004F5A41">
        <w:t>e</w:t>
      </w:r>
      <w:r w:rsidR="005C4195">
        <w:t xml:space="preserve">rdo </w:t>
      </w:r>
      <w:r w:rsidR="001E0914">
        <w:t>con el</w:t>
      </w:r>
      <w:r w:rsidR="005C4195">
        <w:t xml:space="preserve"> siguiente procedimiento complementario:</w:t>
      </w:r>
    </w:p>
    <w:p w14:paraId="0A928F18" w14:textId="77777777" w:rsidR="009D247B" w:rsidRDefault="005C4195">
      <w:pPr>
        <w:pStyle w:val="Listamulticolor-nfasis12"/>
        <w:numPr>
          <w:ilvl w:val="0"/>
          <w:numId w:val="15"/>
        </w:numPr>
      </w:pPr>
      <w:r>
        <w:t>Se convocará a los Proponentes a una nueva ronda de ofertas económicas, en sobre cerrado, conservando la estructura de la matriz de oferta económica adjunta a estas bases.</w:t>
      </w:r>
    </w:p>
    <w:p w14:paraId="33884989" w14:textId="7C43B58B" w:rsidR="009D247B" w:rsidRDefault="005C4195">
      <w:pPr>
        <w:pStyle w:val="Listamulticolor-nfasis12"/>
        <w:numPr>
          <w:ilvl w:val="0"/>
          <w:numId w:val="15"/>
        </w:numPr>
      </w:pPr>
      <w:r>
        <w:t>Se</w:t>
      </w:r>
      <w:r w:rsidR="00B86CD2" w:rsidRPr="006765D0">
        <w:t xml:space="preserve"> notificará </w:t>
      </w:r>
      <w:r>
        <w:t xml:space="preserve">la convocatoria anterior </w:t>
      </w:r>
      <w:r w:rsidR="00926B5B">
        <w:t>por correo electrónico y comprobación telefónica, con a lo menos 48 horas d</w:t>
      </w:r>
      <w:r>
        <w:t>e anticipación a la apertura de</w:t>
      </w:r>
      <w:r w:rsidR="00926B5B">
        <w:t xml:space="preserve"> </w:t>
      </w:r>
      <w:r>
        <w:t xml:space="preserve">la </w:t>
      </w:r>
      <w:r w:rsidR="00926B5B">
        <w:t>nueva propuesta</w:t>
      </w:r>
      <w:r w:rsidR="00AD0D31">
        <w:t>,</w:t>
      </w:r>
      <w:r w:rsidR="00926B5B">
        <w:t xml:space="preserve"> </w:t>
      </w:r>
      <w:r w:rsidR="00B86CD2" w:rsidRPr="006765D0">
        <w:t>a los proponentes que hayan llegado a esta etapa de la licitación para que presenten una oferta complementaria que modifique a la baja</w:t>
      </w:r>
      <w:r w:rsidR="00A97CE4">
        <w:t xml:space="preserve"> únicamente</w:t>
      </w:r>
      <w:r w:rsidR="00B86CD2" w:rsidRPr="006765D0">
        <w:t xml:space="preserve"> </w:t>
      </w:r>
      <w:r>
        <w:t>los precios</w:t>
      </w:r>
      <w:r w:rsidR="008F6696" w:rsidRPr="006765D0">
        <w:t>.</w:t>
      </w:r>
    </w:p>
    <w:p w14:paraId="0E79E0FE" w14:textId="631825F1" w:rsidR="009D247B" w:rsidRDefault="00926B5B">
      <w:pPr>
        <w:pStyle w:val="Listamulticolor-nfasis12"/>
        <w:numPr>
          <w:ilvl w:val="0"/>
          <w:numId w:val="15"/>
        </w:numPr>
      </w:pPr>
      <w:r w:rsidRPr="000A388F">
        <w:t xml:space="preserve">En </w:t>
      </w:r>
      <w:r w:rsidR="000A388F">
        <w:t>la</w:t>
      </w:r>
      <w:r w:rsidRPr="000A388F">
        <w:t xml:space="preserve"> </w:t>
      </w:r>
      <w:r w:rsidR="000A388F">
        <w:t>sesión de apertura de la nueva propuesta referida en el punto anterior</w:t>
      </w:r>
      <w:r w:rsidR="003973C9">
        <w:t xml:space="preserve"> </w:t>
      </w:r>
      <w:r w:rsidR="008F6696">
        <w:t xml:space="preserve">se abrirán los sobres con esta segunda </w:t>
      </w:r>
      <w:r>
        <w:t>propuesta</w:t>
      </w:r>
      <w:r w:rsidR="00727321">
        <w:t xml:space="preserve"> de precios</w:t>
      </w:r>
      <w:r w:rsidR="008F6696">
        <w:t xml:space="preserve"> para comprobar que </w:t>
      </w:r>
      <w:r w:rsidR="00C62FCA">
        <w:t>son menores o iguales al precio umbral</w:t>
      </w:r>
      <w:r w:rsidR="008F6696">
        <w:t>.</w:t>
      </w:r>
    </w:p>
    <w:p w14:paraId="74B92A0A" w14:textId="77777777" w:rsidR="009D247B" w:rsidRDefault="008F6696">
      <w:pPr>
        <w:pStyle w:val="Listamulticolor-nfasis12"/>
        <w:numPr>
          <w:ilvl w:val="0"/>
          <w:numId w:val="15"/>
        </w:numPr>
      </w:pPr>
      <w:r>
        <w:t>Si aún no se logra alcanzar el nivel umbral, se repetirá el procedi</w:t>
      </w:r>
      <w:r w:rsidR="00727321">
        <w:t>miento indicado en el punto a) y</w:t>
      </w:r>
      <w:r>
        <w:t xml:space="preserve"> b) anteriores.</w:t>
      </w:r>
    </w:p>
    <w:p w14:paraId="7E8EC38E" w14:textId="656B96BC" w:rsidR="009D247B" w:rsidRDefault="00BD378E">
      <w:pPr>
        <w:pStyle w:val="Listamulticolor-nfasis12"/>
        <w:numPr>
          <w:ilvl w:val="0"/>
          <w:numId w:val="15"/>
        </w:numPr>
      </w:pPr>
      <w:r>
        <w:t xml:space="preserve">En caso </w:t>
      </w:r>
      <w:r w:rsidR="001E0914">
        <w:t xml:space="preserve">de </w:t>
      </w:r>
      <w:r>
        <w:t xml:space="preserve">que luego de las dos iteraciones anteriores todas las ofertas continúen por sobre cualquiera de los umbrales establecidos, resolverá el </w:t>
      </w:r>
      <w:r w:rsidR="007F188A">
        <w:t>Comité</w:t>
      </w:r>
      <w:r w:rsidR="008F6696">
        <w:t xml:space="preserve">. </w:t>
      </w:r>
    </w:p>
    <w:p w14:paraId="45F11D97" w14:textId="77777777" w:rsidR="009D247B" w:rsidRDefault="009D247B">
      <w:pPr>
        <w:spacing w:after="120"/>
        <w:ind w:left="360" w:firstLine="0"/>
      </w:pPr>
    </w:p>
    <w:p w14:paraId="4E08FF33" w14:textId="77777777" w:rsidR="009D247B" w:rsidRDefault="00F47103">
      <w:pPr>
        <w:spacing w:after="120"/>
      </w:pPr>
      <w:r w:rsidRPr="00B8531D">
        <w:lastRenderedPageBreak/>
        <w:t xml:space="preserve">La mejor oferta económica será la que obtenga el mayor puntaje final, calculado de la forma señalada anteriormente en el Título </w:t>
      </w:r>
      <w:r w:rsidR="00855862">
        <w:t>5</w:t>
      </w:r>
      <w:r w:rsidRPr="00B8531D">
        <w:t xml:space="preserve"> de estas bases.</w:t>
      </w:r>
    </w:p>
    <w:p w14:paraId="25F00C32" w14:textId="5D33DF48" w:rsidR="0012700C" w:rsidRDefault="0012700C" w:rsidP="00DC2B95">
      <w:pPr>
        <w:pStyle w:val="Ttulo1"/>
      </w:pPr>
      <w:bookmarkStart w:id="77" w:name="_Toc17298557"/>
      <w:bookmarkStart w:id="78" w:name="_Toc17381546"/>
      <w:bookmarkStart w:id="79" w:name="_Toc17381826"/>
      <w:bookmarkStart w:id="80" w:name="_Toc191544321"/>
      <w:r>
        <w:lastRenderedPageBreak/>
        <w:t>Anexo Nº1: Presentación Oferta Económic</w:t>
      </w:r>
      <w:r w:rsidR="00DC2B95">
        <w:t>a</w:t>
      </w:r>
      <w:bookmarkEnd w:id="77"/>
      <w:bookmarkEnd w:id="78"/>
      <w:bookmarkEnd w:id="79"/>
      <w:bookmarkEnd w:id="80"/>
    </w:p>
    <w:p w14:paraId="051091EA" w14:textId="77777777" w:rsidR="0012700C" w:rsidRDefault="0012700C" w:rsidP="00CC7A0A">
      <w:pPr>
        <w:ind w:firstLine="0"/>
        <w:jc w:val="center"/>
      </w:pPr>
      <w:r w:rsidRPr="008412AF">
        <w:rPr>
          <w:noProof/>
          <w:lang w:eastAsia="es-CL"/>
        </w:rPr>
        <w:drawing>
          <wp:inline distT="0" distB="0" distL="0" distR="0" wp14:anchorId="07924B0A" wp14:editId="12557C9A">
            <wp:extent cx="4779010" cy="61506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615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A76E0" w14:textId="77777777" w:rsidR="000805FA" w:rsidRDefault="00637D66" w:rsidP="00DC2B95">
      <w:pPr>
        <w:ind w:firstLine="0"/>
      </w:pPr>
      <w:r w:rsidRPr="00637D66">
        <w:t>Estos valores de transacciones se reajustarán cuatrimestralmente conforme a la variación que haya experimentado el Índice de Precios al Consumidor en el periodo o el mecanismo que lo reemplace</w:t>
      </w:r>
      <w:r w:rsidR="00FC454A">
        <w:t>.</w:t>
      </w:r>
    </w:p>
    <w:p w14:paraId="776F6A67" w14:textId="77777777" w:rsidR="00C3592A" w:rsidRDefault="00C3592A" w:rsidP="00C3592A">
      <w:pPr>
        <w:pStyle w:val="Ttulo1"/>
      </w:pPr>
      <w:bookmarkStart w:id="81" w:name="_Toc17298558"/>
      <w:bookmarkStart w:id="82" w:name="_Toc17381547"/>
      <w:bookmarkStart w:id="83" w:name="_Toc17381827"/>
      <w:bookmarkStart w:id="84" w:name="_Toc191544322"/>
      <w:r>
        <w:lastRenderedPageBreak/>
        <w:t xml:space="preserve">Anexo Nº2: Desagregación de </w:t>
      </w:r>
      <w:r w:rsidR="006355DA">
        <w:t>las Inversiones</w:t>
      </w:r>
      <w:bookmarkEnd w:id="81"/>
      <w:bookmarkEnd w:id="82"/>
      <w:bookmarkEnd w:id="83"/>
      <w:bookmarkEnd w:id="84"/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5419"/>
        <w:gridCol w:w="2380"/>
      </w:tblGrid>
      <w:tr w:rsidR="006355DA" w:rsidRPr="006355DA" w14:paraId="3DF34B5F" w14:textId="77777777" w:rsidTr="00CC7A0A">
        <w:trPr>
          <w:trHeight w:val="600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0851FB5D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Inversiones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C24E1B2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Monto</w:t>
            </w:r>
            <w:r w:rsidRPr="006355D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br/>
              <w:t>(Unidades de Fomento)</w:t>
            </w:r>
          </w:p>
        </w:tc>
      </w:tr>
      <w:tr w:rsidR="006355DA" w:rsidRPr="006355DA" w14:paraId="224A3A6A" w14:textId="77777777" w:rsidTr="00CC7A0A">
        <w:trPr>
          <w:trHeight w:val="300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99F4FF5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Hardware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CB38AE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UF </w:t>
            </w:r>
          </w:p>
        </w:tc>
      </w:tr>
      <w:tr w:rsidR="006355DA" w:rsidRPr="006355DA" w14:paraId="33A772EA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AFA7C3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3A09C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-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54010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UF </w:t>
            </w:r>
          </w:p>
        </w:tc>
      </w:tr>
      <w:tr w:rsidR="006355DA" w:rsidRPr="006355DA" w14:paraId="3A00B24F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F05153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CC095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4EF65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  <w:tr w:rsidR="006355DA" w:rsidRPr="006355DA" w14:paraId="2A755AF9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55884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1954B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-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5A2F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  <w:tr w:rsidR="006355DA" w:rsidRPr="006355DA" w14:paraId="167C9839" w14:textId="77777777" w:rsidTr="00CC7A0A">
        <w:trPr>
          <w:trHeight w:val="300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732FC824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Software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1DEF93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  <w:tr w:rsidR="006355DA" w:rsidRPr="006355DA" w14:paraId="706DC34F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E87090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2473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-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A04FA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UF </w:t>
            </w:r>
          </w:p>
        </w:tc>
      </w:tr>
      <w:tr w:rsidR="006355DA" w:rsidRPr="006355DA" w14:paraId="5E62B72D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EA9B65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84888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37741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  <w:tr w:rsidR="006355DA" w:rsidRPr="006355DA" w14:paraId="6D7C9116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A2CE4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38DDC0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-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EE10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  <w:tr w:rsidR="006355DA" w:rsidRPr="006355DA" w14:paraId="2AB91CA8" w14:textId="77777777" w:rsidTr="00CC7A0A">
        <w:trPr>
          <w:trHeight w:val="300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5ED6D873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Infraestructura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3A9D80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UF </w:t>
            </w:r>
          </w:p>
        </w:tc>
      </w:tr>
      <w:tr w:rsidR="006355DA" w:rsidRPr="006355DA" w14:paraId="653D20D9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8D14E7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79A6A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BACB2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UF </w:t>
            </w:r>
          </w:p>
        </w:tc>
      </w:tr>
      <w:tr w:rsidR="006355DA" w:rsidRPr="006355DA" w14:paraId="783FB932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220C28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946E1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0F264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  <w:tr w:rsidR="006355DA" w:rsidRPr="006355DA" w14:paraId="1B69AB61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B0AF52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42B5E0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-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5174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  <w:tr w:rsidR="006355DA" w:rsidRPr="006355DA" w14:paraId="5FACA6FD" w14:textId="77777777" w:rsidTr="00CC7A0A">
        <w:trPr>
          <w:trHeight w:val="300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FE072B8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Equipo de trabajo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9DC574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  <w:tr w:rsidR="006355DA" w:rsidRPr="006355DA" w14:paraId="473BDC5A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8F2C6C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1661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-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F7DD9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UF </w:t>
            </w:r>
          </w:p>
        </w:tc>
      </w:tr>
      <w:tr w:rsidR="006355DA" w:rsidRPr="006355DA" w14:paraId="6660B7F6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813F76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78BF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0F9ED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  <w:tr w:rsidR="006355DA" w:rsidRPr="006355DA" w14:paraId="2E1037CC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E416B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072AC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-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C114A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  <w:tr w:rsidR="006355DA" w:rsidRPr="006355DA" w14:paraId="6934C8AA" w14:textId="77777777" w:rsidTr="00CC7A0A">
        <w:trPr>
          <w:trHeight w:val="300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F3966F3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Costos Operacionales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2F49F4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  <w:tr w:rsidR="006355DA" w:rsidRPr="006355DA" w14:paraId="1C528621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031659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D2015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-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4B7F8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UF </w:t>
            </w:r>
          </w:p>
        </w:tc>
      </w:tr>
      <w:tr w:rsidR="006355DA" w:rsidRPr="006355DA" w14:paraId="2A70DC3E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F05C15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5F08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F81BB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  <w:tr w:rsidR="006355DA" w:rsidRPr="006355DA" w14:paraId="0DF36D54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E1349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6AC6B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-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30A2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  <w:tr w:rsidR="006355DA" w:rsidRPr="006355DA" w14:paraId="51779009" w14:textId="77777777" w:rsidTr="00CC7A0A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5E504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F9874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200" w:firstLine="449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TOTAL INVERSIONES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E28775A" w14:textId="77777777" w:rsidR="006355DA" w:rsidRPr="006355DA" w:rsidRDefault="006355DA" w:rsidP="006355DA">
            <w:pPr>
              <w:suppressAutoHyphens w:val="0"/>
              <w:spacing w:after="0" w:line="240" w:lineRule="auto"/>
              <w:ind w:firstLineChars="100" w:firstLine="224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55D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UF</w:t>
            </w:r>
          </w:p>
        </w:tc>
      </w:tr>
    </w:tbl>
    <w:p w14:paraId="72DD8906" w14:textId="77777777" w:rsidR="00C3592A" w:rsidRDefault="00C3592A" w:rsidP="00DC2B95">
      <w:pPr>
        <w:ind w:firstLine="0"/>
      </w:pPr>
    </w:p>
    <w:p w14:paraId="37DEB0A1" w14:textId="77777777" w:rsidR="006355DA" w:rsidRDefault="006355DA" w:rsidP="00DC2B95">
      <w:pPr>
        <w:ind w:firstLine="0"/>
      </w:pPr>
      <w:r>
        <w:t>La desagregación anterior deberá ser desarrollada por el Proponente de manera tal que muestre de manera clara los costos para cada ítem que compone la Inversión.</w:t>
      </w:r>
    </w:p>
    <w:p w14:paraId="752AD74B" w14:textId="77777777" w:rsidR="006355DA" w:rsidRPr="0012700C" w:rsidRDefault="006355DA" w:rsidP="00DC2B95">
      <w:pPr>
        <w:ind w:firstLine="0"/>
      </w:pPr>
    </w:p>
    <w:sectPr w:rsidR="006355DA" w:rsidRPr="0012700C" w:rsidSect="00FF1B8A">
      <w:headerReference w:type="default" r:id="rId10"/>
      <w:footerReference w:type="even" r:id="rId11"/>
      <w:footerReference w:type="default" r:id="rId12"/>
      <w:pgSz w:w="12240" w:h="15840"/>
      <w:pgMar w:top="184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DB5B3" w14:textId="77777777" w:rsidR="000C355A" w:rsidRDefault="000C355A" w:rsidP="00943DE1">
      <w:pPr>
        <w:spacing w:after="0" w:line="240" w:lineRule="auto"/>
      </w:pPr>
      <w:r>
        <w:separator/>
      </w:r>
    </w:p>
  </w:endnote>
  <w:endnote w:type="continuationSeparator" w:id="0">
    <w:p w14:paraId="5DF5D6BF" w14:textId="77777777" w:rsidR="000C355A" w:rsidRDefault="000C355A" w:rsidP="00943DE1">
      <w:pPr>
        <w:spacing w:after="0" w:line="240" w:lineRule="auto"/>
      </w:pPr>
      <w:r>
        <w:continuationSeparator/>
      </w:r>
    </w:p>
  </w:endnote>
  <w:endnote w:type="continuationNotice" w:id="1">
    <w:p w14:paraId="13725777" w14:textId="77777777" w:rsidR="000C355A" w:rsidRDefault="000C3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0DF33" w14:textId="7C5EA307" w:rsidR="00B51773" w:rsidRDefault="009D247B" w:rsidP="001B1C6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177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241C"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63CF86D6" w14:textId="77777777" w:rsidR="00B51773" w:rsidRDefault="00B51773" w:rsidP="001B1C6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9B7B3" w14:textId="46EC4FB2" w:rsidR="009D247B" w:rsidRDefault="00C40AD6">
    <w:pPr>
      <w:pStyle w:val="Piedepgina"/>
      <w:ind w:right="360" w:firstLine="0"/>
      <w:rPr>
        <w:sz w:val="28"/>
      </w:rPr>
    </w:pPr>
    <w:r w:rsidRPr="008412AF">
      <w:rPr>
        <w:noProof/>
        <w:sz w:val="20"/>
        <w:lang w:eastAsia="es-C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75A1B81" wp14:editId="16DDF7C9">
              <wp:simplePos x="0" y="0"/>
              <wp:positionH relativeFrom="margin">
                <wp:posOffset>-998855</wp:posOffset>
              </wp:positionH>
              <wp:positionV relativeFrom="paragraph">
                <wp:posOffset>-99696</wp:posOffset>
              </wp:positionV>
              <wp:extent cx="7543800" cy="0"/>
              <wp:effectExtent l="0" t="0" r="19050" b="57150"/>
              <wp:wrapNone/>
              <wp:docPr id="3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E3571" id="Conector rec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78.65pt,-7.85pt" to="515.35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" strokecolor="#4f81bd" strokeweight="2pt">
              <v:shadow on="t" opacity="24903f" origin=",.5" offset="0,.55556mm"/>
              <w10:wrap anchorx="margin"/>
            </v:line>
          </w:pict>
        </mc:Fallback>
      </mc:AlternateContent>
    </w:r>
    <w:r w:rsidR="00991A36" w:rsidRPr="0061476A">
      <w:rPr>
        <w:sz w:val="20"/>
      </w:rPr>
      <w:t xml:space="preserve">Bases </w:t>
    </w:r>
    <w:r w:rsidR="00991A36">
      <w:rPr>
        <w:sz w:val="20"/>
      </w:rPr>
      <w:t xml:space="preserve">Económicas </w:t>
    </w:r>
    <w:r w:rsidR="00991A36" w:rsidRPr="0061476A">
      <w:rPr>
        <w:sz w:val="20"/>
      </w:rPr>
      <w:t>de la Licitación</w:t>
    </w:r>
    <w:r w:rsidR="00991A36" w:rsidRPr="0061476A">
      <w:rPr>
        <w:sz w:val="20"/>
      </w:rPr>
      <w:tab/>
    </w:r>
    <w:r w:rsidR="00991A36" w:rsidRPr="0061476A">
      <w:rPr>
        <w:sz w:val="20"/>
      </w:rPr>
      <w:tab/>
    </w:r>
    <w:r w:rsidR="00991A36">
      <w:rPr>
        <w:rStyle w:val="Nmerodepgina"/>
        <w:sz w:val="20"/>
      </w:rPr>
      <w:t xml:space="preserve">Página </w:t>
    </w:r>
    <w:r w:rsidR="009D247B" w:rsidRPr="002021D0">
      <w:rPr>
        <w:rStyle w:val="Nmerodepgina"/>
        <w:sz w:val="20"/>
      </w:rPr>
      <w:fldChar w:fldCharType="begin"/>
    </w:r>
    <w:r w:rsidR="00991A36" w:rsidRPr="005808C3">
      <w:rPr>
        <w:rStyle w:val="Nmerodepgina"/>
        <w:sz w:val="20"/>
      </w:rPr>
      <w:instrText xml:space="preserve">PAGE  </w:instrText>
    </w:r>
    <w:r w:rsidR="009D247B" w:rsidRPr="002021D0">
      <w:rPr>
        <w:rStyle w:val="Nmerodepgina"/>
        <w:sz w:val="20"/>
      </w:rPr>
      <w:fldChar w:fldCharType="separate"/>
    </w:r>
    <w:r w:rsidR="0059036E">
      <w:rPr>
        <w:rStyle w:val="Nmerodepgina"/>
        <w:noProof/>
        <w:sz w:val="20"/>
      </w:rPr>
      <w:t>1</w:t>
    </w:r>
    <w:r w:rsidR="009D247B" w:rsidRPr="002021D0">
      <w:rPr>
        <w:rStyle w:val="Nmerodepgina"/>
        <w:sz w:val="20"/>
      </w:rPr>
      <w:fldChar w:fldCharType="end"/>
    </w:r>
    <w:r w:rsidR="00991A36" w:rsidRPr="005808C3">
      <w:rPr>
        <w:rStyle w:val="Nmerodepgina"/>
        <w:sz w:val="20"/>
      </w:rPr>
      <w:t xml:space="preserve"> de </w:t>
    </w:r>
    <w:r w:rsidR="003D63BD">
      <w:rPr>
        <w:rStyle w:val="Nmerodepgina"/>
        <w:sz w:val="20"/>
      </w:rPr>
      <w:fldChar w:fldCharType="begin"/>
    </w:r>
    <w:r w:rsidR="003D63BD" w:rsidRPr="00F82319">
      <w:rPr>
        <w:rStyle w:val="Nmerodepgina"/>
        <w:sz w:val="20"/>
      </w:rPr>
      <w:instrText xml:space="preserve"> NUMPAGES  \* MERGEFORMAT </w:instrText>
    </w:r>
    <w:r w:rsidR="003D63BD">
      <w:rPr>
        <w:rStyle w:val="Nmerodepgina"/>
        <w:sz w:val="20"/>
      </w:rPr>
      <w:fldChar w:fldCharType="separate"/>
    </w:r>
    <w:r w:rsidR="0059036E">
      <w:rPr>
        <w:rStyle w:val="Nmerodepgina"/>
        <w:noProof/>
        <w:sz w:val="20"/>
      </w:rPr>
      <w:t>17</w:t>
    </w:r>
    <w:r w:rsidR="003D63BD">
      <w:rPr>
        <w:rStyle w:val="Nmerodepgina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3B7F" w14:textId="77777777" w:rsidR="000C355A" w:rsidRDefault="000C355A" w:rsidP="00943DE1">
      <w:pPr>
        <w:spacing w:after="0" w:line="240" w:lineRule="auto"/>
      </w:pPr>
      <w:r>
        <w:separator/>
      </w:r>
    </w:p>
  </w:footnote>
  <w:footnote w:type="continuationSeparator" w:id="0">
    <w:p w14:paraId="285728BC" w14:textId="77777777" w:rsidR="000C355A" w:rsidRDefault="000C355A" w:rsidP="00943DE1">
      <w:pPr>
        <w:spacing w:after="0" w:line="240" w:lineRule="auto"/>
      </w:pPr>
      <w:r>
        <w:continuationSeparator/>
      </w:r>
    </w:p>
  </w:footnote>
  <w:footnote w:type="continuationNotice" w:id="1">
    <w:p w14:paraId="698E7412" w14:textId="77777777" w:rsidR="000C355A" w:rsidRDefault="000C35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AC57" w14:textId="4728D954" w:rsidR="00B51773" w:rsidRPr="001B1C68" w:rsidRDefault="00B51773" w:rsidP="0034241C">
    <w:pPr>
      <w:pStyle w:val="Encabezado"/>
      <w:ind w:hanging="142"/>
      <w:rPr>
        <w:sz w:val="20"/>
      </w:rPr>
    </w:pPr>
    <w:r w:rsidRPr="001B1C68">
      <w:rPr>
        <w:sz w:val="20"/>
      </w:rPr>
      <w:t>Licitación</w:t>
    </w:r>
    <w:r>
      <w:rPr>
        <w:sz w:val="20"/>
      </w:rPr>
      <w:t xml:space="preserve"> para la Contratación</w:t>
    </w:r>
    <w:r w:rsidR="0034241C">
      <w:rPr>
        <w:sz w:val="20"/>
      </w:rPr>
      <w:t xml:space="preserve"> del </w:t>
    </w:r>
    <w:r w:rsidRPr="001B1C68">
      <w:rPr>
        <w:sz w:val="20"/>
      </w:rPr>
      <w:t>Organismo Administrador de la Portabilidad en Chile</w:t>
    </w:r>
  </w:p>
  <w:p w14:paraId="1FFF6A89" w14:textId="77777777" w:rsidR="00B51773" w:rsidRPr="001B1C68" w:rsidRDefault="00C40AD6" w:rsidP="00287ECE">
    <w:pPr>
      <w:pStyle w:val="Encabezado"/>
      <w:ind w:hanging="142"/>
      <w:rPr>
        <w:sz w:val="20"/>
      </w:rPr>
    </w:pPr>
    <w:r w:rsidRPr="008412AF">
      <w:rPr>
        <w:noProof/>
        <w:sz w:val="20"/>
        <w:lang w:eastAsia="es-C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884D533" wp14:editId="3AF3D5B4">
              <wp:simplePos x="0" y="0"/>
              <wp:positionH relativeFrom="column">
                <wp:posOffset>-975360</wp:posOffset>
              </wp:positionH>
              <wp:positionV relativeFrom="paragraph">
                <wp:posOffset>383539</wp:posOffset>
              </wp:positionV>
              <wp:extent cx="7543800" cy="0"/>
              <wp:effectExtent l="0" t="0" r="19050" b="57150"/>
              <wp:wrapNone/>
              <wp:docPr id="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2B885" id="Conector recto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6.8pt,30.2pt" to="517.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" strokecolor="#4f81bd" strokeweight="2pt">
              <v:shadow on="t" opacity="24903f" origin=",.5" offset="0,.55556mm"/>
            </v:line>
          </w:pict>
        </mc:Fallback>
      </mc:AlternateContent>
    </w:r>
    <w:r w:rsidR="00B51773" w:rsidRPr="001B1C68">
      <w:rPr>
        <w:sz w:val="20"/>
      </w:rPr>
      <w:t>Comité Re</w:t>
    </w:r>
    <w:r w:rsidR="00B51773">
      <w:rPr>
        <w:sz w:val="20"/>
      </w:rPr>
      <w:t>presentativo de la Portabilidad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2BC72D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509BE"/>
    <w:multiLevelType w:val="hybridMultilevel"/>
    <w:tmpl w:val="BCD4AB00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2C4426C"/>
    <w:multiLevelType w:val="hybridMultilevel"/>
    <w:tmpl w:val="B644DD02"/>
    <w:lvl w:ilvl="0" w:tplc="0C0A0017">
      <w:start w:val="1"/>
      <w:numFmt w:val="lowerLetter"/>
      <w:lvlText w:val="%1)"/>
      <w:lvlJc w:val="left"/>
      <w:pPr>
        <w:ind w:left="77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04E917EC"/>
    <w:multiLevelType w:val="hybridMultilevel"/>
    <w:tmpl w:val="CBF0749C"/>
    <w:lvl w:ilvl="0" w:tplc="C3F0527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8C66BA"/>
    <w:multiLevelType w:val="hybridMultilevel"/>
    <w:tmpl w:val="70BE96E2"/>
    <w:lvl w:ilvl="0" w:tplc="EA8A4212">
      <w:start w:val="1"/>
      <w:numFmt w:val="lowerLetter"/>
      <w:pStyle w:val="Listamulticolor-nfasis12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60CED"/>
    <w:multiLevelType w:val="hybridMultilevel"/>
    <w:tmpl w:val="E2EE79B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3C2120"/>
    <w:multiLevelType w:val="multilevel"/>
    <w:tmpl w:val="7B7A8FE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B203EA"/>
    <w:multiLevelType w:val="hybridMultilevel"/>
    <w:tmpl w:val="658AE40C"/>
    <w:name w:val="WW8Num12"/>
    <w:lvl w:ilvl="0" w:tplc="3AFADC30">
      <w:start w:val="1"/>
      <w:numFmt w:val="decimal"/>
      <w:lvlText w:val="Artículo %1°"/>
      <w:lvlJc w:val="left"/>
      <w:pPr>
        <w:tabs>
          <w:tab w:val="num" w:pos="16644"/>
        </w:tabs>
        <w:ind w:left="16644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BDE46CAC">
      <w:start w:val="1"/>
      <w:numFmt w:val="lowerLetter"/>
      <w:lvlText w:val="%2)"/>
      <w:lvlJc w:val="left"/>
      <w:pPr>
        <w:tabs>
          <w:tab w:val="num" w:pos="1628"/>
        </w:tabs>
        <w:ind w:left="1628" w:hanging="360"/>
      </w:pPr>
      <w:rPr>
        <w:rFonts w:cs="Times New Roman" w:hint="default"/>
        <w:b w:val="0"/>
        <w:i w:val="0"/>
        <w:sz w:val="24"/>
      </w:rPr>
    </w:lvl>
    <w:lvl w:ilvl="2" w:tplc="0C0A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7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C0A000F">
      <w:start w:val="1"/>
      <w:numFmt w:val="decimal"/>
      <w:lvlText w:val="%6."/>
      <w:lvlJc w:val="left"/>
      <w:pPr>
        <w:ind w:left="402" w:hanging="360"/>
      </w:pPr>
      <w:rPr>
        <w:rFonts w:hint="default"/>
        <w:b/>
        <w:i w:val="0"/>
        <w:sz w:val="24"/>
      </w:rPr>
    </w:lvl>
    <w:lvl w:ilvl="6" w:tplc="D8E6A158">
      <w:start w:val="1"/>
      <w:numFmt w:val="lowerLetter"/>
      <w:lvlText w:val="%7)"/>
      <w:lvlJc w:val="left"/>
      <w:pPr>
        <w:tabs>
          <w:tab w:val="num" w:pos="4940"/>
        </w:tabs>
        <w:ind w:left="4940" w:hanging="360"/>
      </w:pPr>
      <w:rPr>
        <w:rFonts w:cs="Times New Roman" w:hint="default"/>
        <w:b/>
        <w:i w:val="0"/>
        <w:sz w:val="24"/>
      </w:rPr>
    </w:lvl>
    <w:lvl w:ilvl="7" w:tplc="0C0A000F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  <w:rPr>
        <w:rFonts w:cs="Times New Roman" w:hint="default"/>
        <w:b/>
        <w:i w:val="0"/>
        <w:sz w:val="24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  <w:rPr>
        <w:rFonts w:cs="Times New Roman"/>
      </w:rPr>
    </w:lvl>
  </w:abstractNum>
  <w:abstractNum w:abstractNumId="8" w15:restartNumberingAfterBreak="0">
    <w:nsid w:val="21305A7C"/>
    <w:multiLevelType w:val="hybridMultilevel"/>
    <w:tmpl w:val="0F188E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</w:rPr>
    </w:lvl>
    <w:lvl w:ilvl="1" w:tplc="340A0003">
      <w:start w:val="1"/>
      <w:numFmt w:val="bullet"/>
      <w:lvlText w:val="o"/>
      <w:lvlJc w:val="left"/>
      <w:pPr>
        <w:ind w:left="281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9" w15:restartNumberingAfterBreak="0">
    <w:nsid w:val="21A4420D"/>
    <w:multiLevelType w:val="hybridMultilevel"/>
    <w:tmpl w:val="4CA48DFA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FE38BB"/>
    <w:multiLevelType w:val="hybridMultilevel"/>
    <w:tmpl w:val="4C8287D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7C039B"/>
    <w:multiLevelType w:val="hybridMultilevel"/>
    <w:tmpl w:val="D7A42B5E"/>
    <w:lvl w:ilvl="0" w:tplc="2B720D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5C63FE"/>
    <w:multiLevelType w:val="hybridMultilevel"/>
    <w:tmpl w:val="BA9EC85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17F00E3"/>
    <w:multiLevelType w:val="hybridMultilevel"/>
    <w:tmpl w:val="79C63020"/>
    <w:lvl w:ilvl="0" w:tplc="3AFADC30">
      <w:start w:val="1"/>
      <w:numFmt w:val="decimal"/>
      <w:lvlText w:val="Artículo %1°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C95E73"/>
    <w:multiLevelType w:val="hybridMultilevel"/>
    <w:tmpl w:val="35D23FD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3C7278"/>
    <w:multiLevelType w:val="hybridMultilevel"/>
    <w:tmpl w:val="8460F3C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111D7"/>
    <w:multiLevelType w:val="hybridMultilevel"/>
    <w:tmpl w:val="09D6966E"/>
    <w:lvl w:ilvl="0" w:tplc="A4E0B6AC">
      <w:start w:val="1"/>
      <w:numFmt w:val="lowerLetter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704F5D"/>
    <w:multiLevelType w:val="hybridMultilevel"/>
    <w:tmpl w:val="F65A8684"/>
    <w:lvl w:ilvl="0" w:tplc="E9F27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8" w15:restartNumberingAfterBreak="0">
    <w:nsid w:val="3AB56A7D"/>
    <w:multiLevelType w:val="hybridMultilevel"/>
    <w:tmpl w:val="98265050"/>
    <w:lvl w:ilvl="0" w:tplc="3AFADC30">
      <w:start w:val="1"/>
      <w:numFmt w:val="decimal"/>
      <w:lvlText w:val="Artículo %1°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5F0FA9"/>
    <w:multiLevelType w:val="hybridMultilevel"/>
    <w:tmpl w:val="7FA21010"/>
    <w:lvl w:ilvl="0" w:tplc="D9C260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D37C8"/>
    <w:multiLevelType w:val="hybridMultilevel"/>
    <w:tmpl w:val="78085A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ADE71E5"/>
    <w:multiLevelType w:val="hybridMultilevel"/>
    <w:tmpl w:val="7218620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FF50DC"/>
    <w:multiLevelType w:val="hybridMultilevel"/>
    <w:tmpl w:val="787E0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3D100A"/>
    <w:multiLevelType w:val="hybridMultilevel"/>
    <w:tmpl w:val="8F009968"/>
    <w:lvl w:ilvl="0" w:tplc="5CB02AD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E13A6"/>
    <w:multiLevelType w:val="hybridMultilevel"/>
    <w:tmpl w:val="487873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03CBC"/>
    <w:multiLevelType w:val="hybridMultilevel"/>
    <w:tmpl w:val="6B86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82CEF"/>
    <w:multiLevelType w:val="hybridMultilevel"/>
    <w:tmpl w:val="E572D65E"/>
    <w:lvl w:ilvl="0" w:tplc="82B4B4C6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59AE28A4"/>
    <w:multiLevelType w:val="multilevel"/>
    <w:tmpl w:val="B4E42834"/>
    <w:lvl w:ilvl="0">
      <w:start w:val="1"/>
      <w:numFmt w:val="decimal"/>
      <w:lvlText w:val="Artículo %1°"/>
      <w:lvlJc w:val="left"/>
      <w:pPr>
        <w:tabs>
          <w:tab w:val="num" w:pos="16744"/>
        </w:tabs>
        <w:ind w:left="16744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Artículo %6°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b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9D6B8A"/>
    <w:multiLevelType w:val="hybridMultilevel"/>
    <w:tmpl w:val="9CB091E6"/>
    <w:lvl w:ilvl="0" w:tplc="D1DED5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</w:rPr>
    </w:lvl>
    <w:lvl w:ilvl="1" w:tplc="340A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9" w15:restartNumberingAfterBreak="0">
    <w:nsid w:val="678653DF"/>
    <w:multiLevelType w:val="hybridMultilevel"/>
    <w:tmpl w:val="20BAE74E"/>
    <w:lvl w:ilvl="0" w:tplc="6018E1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5C606C">
      <w:start w:val="1"/>
      <w:numFmt w:val="bullet"/>
      <w:lvlText w:val="o"/>
      <w:lvlJc w:val="left"/>
      <w:pPr>
        <w:ind w:left="-6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</w:abstractNum>
  <w:abstractNum w:abstractNumId="30" w15:restartNumberingAfterBreak="0">
    <w:nsid w:val="6A702657"/>
    <w:multiLevelType w:val="hybridMultilevel"/>
    <w:tmpl w:val="2658784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E7710E5"/>
    <w:multiLevelType w:val="multilevel"/>
    <w:tmpl w:val="D0141A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ind w:left="2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2" w15:restartNumberingAfterBreak="0">
    <w:nsid w:val="74EB3242"/>
    <w:multiLevelType w:val="hybridMultilevel"/>
    <w:tmpl w:val="86B8D7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94491"/>
    <w:multiLevelType w:val="multilevel"/>
    <w:tmpl w:val="DF507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9F0F53"/>
    <w:multiLevelType w:val="hybridMultilevel"/>
    <w:tmpl w:val="134CB6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8C0819"/>
    <w:multiLevelType w:val="hybridMultilevel"/>
    <w:tmpl w:val="8ECA59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01DC9"/>
    <w:multiLevelType w:val="multilevel"/>
    <w:tmpl w:val="B4E42834"/>
    <w:lvl w:ilvl="0">
      <w:start w:val="1"/>
      <w:numFmt w:val="decimal"/>
      <w:lvlText w:val="Artículo %1°"/>
      <w:lvlJc w:val="left"/>
      <w:pPr>
        <w:tabs>
          <w:tab w:val="num" w:pos="16744"/>
        </w:tabs>
        <w:ind w:left="16744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Artículo %6°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b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83705554">
    <w:abstractNumId w:val="7"/>
  </w:num>
  <w:num w:numId="2" w16cid:durableId="667556722">
    <w:abstractNumId w:val="1"/>
  </w:num>
  <w:num w:numId="3" w16cid:durableId="1567376346">
    <w:abstractNumId w:val="28"/>
  </w:num>
  <w:num w:numId="4" w16cid:durableId="1412659735">
    <w:abstractNumId w:val="17"/>
  </w:num>
  <w:num w:numId="5" w16cid:durableId="1973094281">
    <w:abstractNumId w:val="9"/>
  </w:num>
  <w:num w:numId="6" w16cid:durableId="1959875155">
    <w:abstractNumId w:val="18"/>
  </w:num>
  <w:num w:numId="7" w16cid:durableId="851652160">
    <w:abstractNumId w:val="22"/>
  </w:num>
  <w:num w:numId="8" w16cid:durableId="323171353">
    <w:abstractNumId w:val="13"/>
  </w:num>
  <w:num w:numId="9" w16cid:durableId="159582031">
    <w:abstractNumId w:val="2"/>
  </w:num>
  <w:num w:numId="10" w16cid:durableId="1227762277">
    <w:abstractNumId w:val="0"/>
  </w:num>
  <w:num w:numId="11" w16cid:durableId="1718159636">
    <w:abstractNumId w:val="25"/>
  </w:num>
  <w:num w:numId="12" w16cid:durableId="649873114">
    <w:abstractNumId w:val="34"/>
  </w:num>
  <w:num w:numId="13" w16cid:durableId="1984383899">
    <w:abstractNumId w:val="27"/>
  </w:num>
  <w:num w:numId="14" w16cid:durableId="1657492464">
    <w:abstractNumId w:val="36"/>
  </w:num>
  <w:num w:numId="15" w16cid:durableId="1422990368">
    <w:abstractNumId w:val="35"/>
  </w:num>
  <w:num w:numId="16" w16cid:durableId="629095832">
    <w:abstractNumId w:val="23"/>
  </w:num>
  <w:num w:numId="17" w16cid:durableId="206912167">
    <w:abstractNumId w:val="21"/>
  </w:num>
  <w:num w:numId="18" w16cid:durableId="1795321018">
    <w:abstractNumId w:val="31"/>
  </w:num>
  <w:num w:numId="19" w16cid:durableId="640157837">
    <w:abstractNumId w:val="6"/>
  </w:num>
  <w:num w:numId="20" w16cid:durableId="1105540824">
    <w:abstractNumId w:val="15"/>
  </w:num>
  <w:num w:numId="21" w16cid:durableId="539561670">
    <w:abstractNumId w:val="8"/>
  </w:num>
  <w:num w:numId="22" w16cid:durableId="1030379566">
    <w:abstractNumId w:val="11"/>
  </w:num>
  <w:num w:numId="23" w16cid:durableId="452217569">
    <w:abstractNumId w:val="14"/>
  </w:num>
  <w:num w:numId="24" w16cid:durableId="769476042">
    <w:abstractNumId w:val="33"/>
  </w:num>
  <w:num w:numId="25" w16cid:durableId="658505803">
    <w:abstractNumId w:val="12"/>
  </w:num>
  <w:num w:numId="26" w16cid:durableId="641429905">
    <w:abstractNumId w:val="20"/>
  </w:num>
  <w:num w:numId="27" w16cid:durableId="311180054">
    <w:abstractNumId w:val="10"/>
  </w:num>
  <w:num w:numId="28" w16cid:durableId="333532277">
    <w:abstractNumId w:val="5"/>
  </w:num>
  <w:num w:numId="29" w16cid:durableId="376440018">
    <w:abstractNumId w:val="30"/>
  </w:num>
  <w:num w:numId="30" w16cid:durableId="730813532">
    <w:abstractNumId w:val="24"/>
  </w:num>
  <w:num w:numId="31" w16cid:durableId="955481100">
    <w:abstractNumId w:val="26"/>
  </w:num>
  <w:num w:numId="32" w16cid:durableId="1324048825">
    <w:abstractNumId w:val="29"/>
  </w:num>
  <w:num w:numId="33" w16cid:durableId="890505521">
    <w:abstractNumId w:val="32"/>
  </w:num>
  <w:num w:numId="34" w16cid:durableId="556017153">
    <w:abstractNumId w:val="16"/>
  </w:num>
  <w:num w:numId="35" w16cid:durableId="708188610">
    <w:abstractNumId w:val="4"/>
  </w:num>
  <w:num w:numId="36" w16cid:durableId="1802964160">
    <w:abstractNumId w:val="4"/>
  </w:num>
  <w:num w:numId="37" w16cid:durableId="2048411232">
    <w:abstractNumId w:val="4"/>
  </w:num>
  <w:num w:numId="38" w16cid:durableId="534006121">
    <w:abstractNumId w:val="19"/>
  </w:num>
  <w:num w:numId="39" w16cid:durableId="797381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DF"/>
    <w:rsid w:val="00005026"/>
    <w:rsid w:val="0000693A"/>
    <w:rsid w:val="000118DA"/>
    <w:rsid w:val="000254AC"/>
    <w:rsid w:val="00031CA0"/>
    <w:rsid w:val="000324C6"/>
    <w:rsid w:val="00032D5F"/>
    <w:rsid w:val="00037555"/>
    <w:rsid w:val="0004053B"/>
    <w:rsid w:val="0004283E"/>
    <w:rsid w:val="0005285B"/>
    <w:rsid w:val="00053C76"/>
    <w:rsid w:val="0005582A"/>
    <w:rsid w:val="000632BA"/>
    <w:rsid w:val="00067396"/>
    <w:rsid w:val="0007296E"/>
    <w:rsid w:val="000805FA"/>
    <w:rsid w:val="0008142F"/>
    <w:rsid w:val="000853A0"/>
    <w:rsid w:val="000A1524"/>
    <w:rsid w:val="000A25AA"/>
    <w:rsid w:val="000A388F"/>
    <w:rsid w:val="000A6794"/>
    <w:rsid w:val="000B09A0"/>
    <w:rsid w:val="000B5C83"/>
    <w:rsid w:val="000C2FB8"/>
    <w:rsid w:val="000C355A"/>
    <w:rsid w:val="000C7CDF"/>
    <w:rsid w:val="000D327A"/>
    <w:rsid w:val="000D4F8F"/>
    <w:rsid w:val="000E2A20"/>
    <w:rsid w:val="000F0892"/>
    <w:rsid w:val="000F5449"/>
    <w:rsid w:val="001032D9"/>
    <w:rsid w:val="00107A56"/>
    <w:rsid w:val="001131FC"/>
    <w:rsid w:val="001230FF"/>
    <w:rsid w:val="0012448D"/>
    <w:rsid w:val="0012700C"/>
    <w:rsid w:val="00137F39"/>
    <w:rsid w:val="00141346"/>
    <w:rsid w:val="00155FD3"/>
    <w:rsid w:val="00160D39"/>
    <w:rsid w:val="00170D5F"/>
    <w:rsid w:val="001801AC"/>
    <w:rsid w:val="00182566"/>
    <w:rsid w:val="00186297"/>
    <w:rsid w:val="001A0650"/>
    <w:rsid w:val="001A720D"/>
    <w:rsid w:val="001B09CE"/>
    <w:rsid w:val="001B1C68"/>
    <w:rsid w:val="001B4314"/>
    <w:rsid w:val="001B64AB"/>
    <w:rsid w:val="001C69DA"/>
    <w:rsid w:val="001D7C23"/>
    <w:rsid w:val="001E0914"/>
    <w:rsid w:val="001E33A4"/>
    <w:rsid w:val="001E3F43"/>
    <w:rsid w:val="001E4469"/>
    <w:rsid w:val="001E4DCC"/>
    <w:rsid w:val="001F0F9A"/>
    <w:rsid w:val="001F15A3"/>
    <w:rsid w:val="001F15BB"/>
    <w:rsid w:val="001F1DAE"/>
    <w:rsid w:val="001F53E3"/>
    <w:rsid w:val="00200B00"/>
    <w:rsid w:val="00206971"/>
    <w:rsid w:val="002164EE"/>
    <w:rsid w:val="00224143"/>
    <w:rsid w:val="00224163"/>
    <w:rsid w:val="00242A87"/>
    <w:rsid w:val="00242D96"/>
    <w:rsid w:val="00250D20"/>
    <w:rsid w:val="00252BC3"/>
    <w:rsid w:val="0025335F"/>
    <w:rsid w:val="002557AF"/>
    <w:rsid w:val="00287ECE"/>
    <w:rsid w:val="00293CE7"/>
    <w:rsid w:val="00294E5B"/>
    <w:rsid w:val="002957C3"/>
    <w:rsid w:val="00297315"/>
    <w:rsid w:val="002A02E4"/>
    <w:rsid w:val="002A2E3E"/>
    <w:rsid w:val="002B54B1"/>
    <w:rsid w:val="002C05E3"/>
    <w:rsid w:val="002C5ADF"/>
    <w:rsid w:val="002C5AE3"/>
    <w:rsid w:val="002C6267"/>
    <w:rsid w:val="002D0DEE"/>
    <w:rsid w:val="002D419B"/>
    <w:rsid w:val="002D5427"/>
    <w:rsid w:val="002E08D6"/>
    <w:rsid w:val="002F2507"/>
    <w:rsid w:val="002F2B0A"/>
    <w:rsid w:val="002F3100"/>
    <w:rsid w:val="002F449F"/>
    <w:rsid w:val="002F5197"/>
    <w:rsid w:val="002F7288"/>
    <w:rsid w:val="00320E3F"/>
    <w:rsid w:val="00322145"/>
    <w:rsid w:val="003375F3"/>
    <w:rsid w:val="00341246"/>
    <w:rsid w:val="0034241C"/>
    <w:rsid w:val="003505F4"/>
    <w:rsid w:val="0035322C"/>
    <w:rsid w:val="003553C0"/>
    <w:rsid w:val="003620D7"/>
    <w:rsid w:val="00391469"/>
    <w:rsid w:val="003973C9"/>
    <w:rsid w:val="003A4215"/>
    <w:rsid w:val="003A4FEE"/>
    <w:rsid w:val="003C08B2"/>
    <w:rsid w:val="003C739C"/>
    <w:rsid w:val="003D31A8"/>
    <w:rsid w:val="003D63BD"/>
    <w:rsid w:val="003E0579"/>
    <w:rsid w:val="003E4C77"/>
    <w:rsid w:val="003E711E"/>
    <w:rsid w:val="003E78C6"/>
    <w:rsid w:val="003F02B8"/>
    <w:rsid w:val="00414D06"/>
    <w:rsid w:val="0042208D"/>
    <w:rsid w:val="004231FF"/>
    <w:rsid w:val="00423437"/>
    <w:rsid w:val="0042372E"/>
    <w:rsid w:val="004279E7"/>
    <w:rsid w:val="00435B15"/>
    <w:rsid w:val="0043751B"/>
    <w:rsid w:val="004444C2"/>
    <w:rsid w:val="00447982"/>
    <w:rsid w:val="00447C4A"/>
    <w:rsid w:val="00451A90"/>
    <w:rsid w:val="00454059"/>
    <w:rsid w:val="00460B0F"/>
    <w:rsid w:val="004676B6"/>
    <w:rsid w:val="0047725C"/>
    <w:rsid w:val="004808F6"/>
    <w:rsid w:val="004855AB"/>
    <w:rsid w:val="00487604"/>
    <w:rsid w:val="004920C8"/>
    <w:rsid w:val="004962FC"/>
    <w:rsid w:val="004A139D"/>
    <w:rsid w:val="004A3757"/>
    <w:rsid w:val="004A7617"/>
    <w:rsid w:val="004B5054"/>
    <w:rsid w:val="004B5D4D"/>
    <w:rsid w:val="004C2091"/>
    <w:rsid w:val="004E1187"/>
    <w:rsid w:val="004E4CD2"/>
    <w:rsid w:val="004E5CDF"/>
    <w:rsid w:val="004F4C6F"/>
    <w:rsid w:val="004F5A41"/>
    <w:rsid w:val="004F60BC"/>
    <w:rsid w:val="00512BBF"/>
    <w:rsid w:val="00520625"/>
    <w:rsid w:val="00522796"/>
    <w:rsid w:val="00524DC7"/>
    <w:rsid w:val="00525A14"/>
    <w:rsid w:val="00526E5E"/>
    <w:rsid w:val="005340D0"/>
    <w:rsid w:val="00540032"/>
    <w:rsid w:val="005410BC"/>
    <w:rsid w:val="00554BAD"/>
    <w:rsid w:val="005704FD"/>
    <w:rsid w:val="005716F8"/>
    <w:rsid w:val="0057175F"/>
    <w:rsid w:val="00576565"/>
    <w:rsid w:val="00581566"/>
    <w:rsid w:val="00582EED"/>
    <w:rsid w:val="00585944"/>
    <w:rsid w:val="00585D3E"/>
    <w:rsid w:val="005872DE"/>
    <w:rsid w:val="0059036E"/>
    <w:rsid w:val="00592C38"/>
    <w:rsid w:val="005B09E3"/>
    <w:rsid w:val="005B0E18"/>
    <w:rsid w:val="005B4B25"/>
    <w:rsid w:val="005C1B4F"/>
    <w:rsid w:val="005C4195"/>
    <w:rsid w:val="005C5945"/>
    <w:rsid w:val="005D2C12"/>
    <w:rsid w:val="005D43FD"/>
    <w:rsid w:val="005D790E"/>
    <w:rsid w:val="005D7C6C"/>
    <w:rsid w:val="005F206B"/>
    <w:rsid w:val="005F29D8"/>
    <w:rsid w:val="005F3C7D"/>
    <w:rsid w:val="006040FC"/>
    <w:rsid w:val="00611BF2"/>
    <w:rsid w:val="00614B81"/>
    <w:rsid w:val="00625489"/>
    <w:rsid w:val="006355DA"/>
    <w:rsid w:val="00637D66"/>
    <w:rsid w:val="00656828"/>
    <w:rsid w:val="00657CB7"/>
    <w:rsid w:val="006765D0"/>
    <w:rsid w:val="00676A1D"/>
    <w:rsid w:val="00684BD7"/>
    <w:rsid w:val="00685DC7"/>
    <w:rsid w:val="00685F06"/>
    <w:rsid w:val="0069102E"/>
    <w:rsid w:val="00695C00"/>
    <w:rsid w:val="00696145"/>
    <w:rsid w:val="006A308B"/>
    <w:rsid w:val="006A59DA"/>
    <w:rsid w:val="006B2DC3"/>
    <w:rsid w:val="006B3C7E"/>
    <w:rsid w:val="006B5901"/>
    <w:rsid w:val="006B5C50"/>
    <w:rsid w:val="006C5E4D"/>
    <w:rsid w:val="006D4B28"/>
    <w:rsid w:val="006D5A97"/>
    <w:rsid w:val="006D5EE9"/>
    <w:rsid w:val="006E18A4"/>
    <w:rsid w:val="006E2F0D"/>
    <w:rsid w:val="006E5891"/>
    <w:rsid w:val="006E5A2E"/>
    <w:rsid w:val="006E6238"/>
    <w:rsid w:val="007020EC"/>
    <w:rsid w:val="00705F61"/>
    <w:rsid w:val="007120C9"/>
    <w:rsid w:val="00712990"/>
    <w:rsid w:val="00727321"/>
    <w:rsid w:val="007279F1"/>
    <w:rsid w:val="007375EA"/>
    <w:rsid w:val="00743E2B"/>
    <w:rsid w:val="00750193"/>
    <w:rsid w:val="00750961"/>
    <w:rsid w:val="00750B06"/>
    <w:rsid w:val="00752325"/>
    <w:rsid w:val="00752691"/>
    <w:rsid w:val="00753422"/>
    <w:rsid w:val="0076181A"/>
    <w:rsid w:val="00773781"/>
    <w:rsid w:val="0077518D"/>
    <w:rsid w:val="00781395"/>
    <w:rsid w:val="00783DB2"/>
    <w:rsid w:val="00793E3A"/>
    <w:rsid w:val="007966F5"/>
    <w:rsid w:val="007A3F7E"/>
    <w:rsid w:val="007A6697"/>
    <w:rsid w:val="007B316F"/>
    <w:rsid w:val="007B6CF8"/>
    <w:rsid w:val="007C0486"/>
    <w:rsid w:val="007C09DE"/>
    <w:rsid w:val="007C18C7"/>
    <w:rsid w:val="007D08F4"/>
    <w:rsid w:val="007D167D"/>
    <w:rsid w:val="007E1229"/>
    <w:rsid w:val="007E3975"/>
    <w:rsid w:val="007F188A"/>
    <w:rsid w:val="008038B4"/>
    <w:rsid w:val="00810B3C"/>
    <w:rsid w:val="00822D7A"/>
    <w:rsid w:val="00827B99"/>
    <w:rsid w:val="008412AF"/>
    <w:rsid w:val="008420E6"/>
    <w:rsid w:val="00855862"/>
    <w:rsid w:val="0086146D"/>
    <w:rsid w:val="008645EA"/>
    <w:rsid w:val="00865D01"/>
    <w:rsid w:val="00873CBD"/>
    <w:rsid w:val="00877848"/>
    <w:rsid w:val="00884D5C"/>
    <w:rsid w:val="008877AB"/>
    <w:rsid w:val="00891114"/>
    <w:rsid w:val="00892BDC"/>
    <w:rsid w:val="008A4ECB"/>
    <w:rsid w:val="008B3172"/>
    <w:rsid w:val="008C2179"/>
    <w:rsid w:val="008C616D"/>
    <w:rsid w:val="008D4983"/>
    <w:rsid w:val="008E2A7C"/>
    <w:rsid w:val="008E456D"/>
    <w:rsid w:val="008F3589"/>
    <w:rsid w:val="008F6696"/>
    <w:rsid w:val="009123E4"/>
    <w:rsid w:val="009154E9"/>
    <w:rsid w:val="00917426"/>
    <w:rsid w:val="009228AE"/>
    <w:rsid w:val="00926B5B"/>
    <w:rsid w:val="009331DC"/>
    <w:rsid w:val="00943AE9"/>
    <w:rsid w:val="00943DE1"/>
    <w:rsid w:val="009450C8"/>
    <w:rsid w:val="00950017"/>
    <w:rsid w:val="00950086"/>
    <w:rsid w:val="00951521"/>
    <w:rsid w:val="00955345"/>
    <w:rsid w:val="00965484"/>
    <w:rsid w:val="00967595"/>
    <w:rsid w:val="00991A36"/>
    <w:rsid w:val="00994ABB"/>
    <w:rsid w:val="00995ADC"/>
    <w:rsid w:val="009A27FB"/>
    <w:rsid w:val="009B11D4"/>
    <w:rsid w:val="009B6AD5"/>
    <w:rsid w:val="009B6EB5"/>
    <w:rsid w:val="009B7359"/>
    <w:rsid w:val="009C075B"/>
    <w:rsid w:val="009C2808"/>
    <w:rsid w:val="009C4AF5"/>
    <w:rsid w:val="009C7734"/>
    <w:rsid w:val="009D247B"/>
    <w:rsid w:val="009D4764"/>
    <w:rsid w:val="009F45DD"/>
    <w:rsid w:val="009F48E1"/>
    <w:rsid w:val="009F5EC1"/>
    <w:rsid w:val="00A0254B"/>
    <w:rsid w:val="00A03A09"/>
    <w:rsid w:val="00A05E3B"/>
    <w:rsid w:val="00A11CB6"/>
    <w:rsid w:val="00A15EBC"/>
    <w:rsid w:val="00A17C52"/>
    <w:rsid w:val="00A242EE"/>
    <w:rsid w:val="00A245D9"/>
    <w:rsid w:val="00A25880"/>
    <w:rsid w:val="00A30475"/>
    <w:rsid w:val="00A31F4E"/>
    <w:rsid w:val="00A34D58"/>
    <w:rsid w:val="00A35A45"/>
    <w:rsid w:val="00A3684F"/>
    <w:rsid w:val="00A36DAE"/>
    <w:rsid w:val="00A440AB"/>
    <w:rsid w:val="00A54D05"/>
    <w:rsid w:val="00A573E9"/>
    <w:rsid w:val="00A62045"/>
    <w:rsid w:val="00A640B2"/>
    <w:rsid w:val="00A64A52"/>
    <w:rsid w:val="00A64F0E"/>
    <w:rsid w:val="00A65AD4"/>
    <w:rsid w:val="00A671BE"/>
    <w:rsid w:val="00A71688"/>
    <w:rsid w:val="00A72C9F"/>
    <w:rsid w:val="00A9527A"/>
    <w:rsid w:val="00A9769D"/>
    <w:rsid w:val="00A97CE4"/>
    <w:rsid w:val="00AA4742"/>
    <w:rsid w:val="00AA59C8"/>
    <w:rsid w:val="00AB1539"/>
    <w:rsid w:val="00AC54E9"/>
    <w:rsid w:val="00AC58E8"/>
    <w:rsid w:val="00AD0D31"/>
    <w:rsid w:val="00AD1BE7"/>
    <w:rsid w:val="00AD2774"/>
    <w:rsid w:val="00AD6AEA"/>
    <w:rsid w:val="00AE0251"/>
    <w:rsid w:val="00AE7D12"/>
    <w:rsid w:val="00AF2DC6"/>
    <w:rsid w:val="00AF2F24"/>
    <w:rsid w:val="00B05E3C"/>
    <w:rsid w:val="00B1258A"/>
    <w:rsid w:val="00B142F2"/>
    <w:rsid w:val="00B17F64"/>
    <w:rsid w:val="00B2022F"/>
    <w:rsid w:val="00B2339E"/>
    <w:rsid w:val="00B27B7D"/>
    <w:rsid w:val="00B305D9"/>
    <w:rsid w:val="00B33F4B"/>
    <w:rsid w:val="00B35CF4"/>
    <w:rsid w:val="00B41917"/>
    <w:rsid w:val="00B42B93"/>
    <w:rsid w:val="00B43E17"/>
    <w:rsid w:val="00B46ABD"/>
    <w:rsid w:val="00B50F7D"/>
    <w:rsid w:val="00B51773"/>
    <w:rsid w:val="00B550C7"/>
    <w:rsid w:val="00B55C33"/>
    <w:rsid w:val="00B666D6"/>
    <w:rsid w:val="00B66EDB"/>
    <w:rsid w:val="00B72E80"/>
    <w:rsid w:val="00B805B0"/>
    <w:rsid w:val="00B85134"/>
    <w:rsid w:val="00B8531D"/>
    <w:rsid w:val="00B85C3E"/>
    <w:rsid w:val="00B86811"/>
    <w:rsid w:val="00B86CD2"/>
    <w:rsid w:val="00B87031"/>
    <w:rsid w:val="00B93B24"/>
    <w:rsid w:val="00B972BF"/>
    <w:rsid w:val="00BA72D7"/>
    <w:rsid w:val="00BB1A1C"/>
    <w:rsid w:val="00BB6F4E"/>
    <w:rsid w:val="00BC2524"/>
    <w:rsid w:val="00BD378E"/>
    <w:rsid w:val="00BD4504"/>
    <w:rsid w:val="00BD62E8"/>
    <w:rsid w:val="00BE0F81"/>
    <w:rsid w:val="00BE593A"/>
    <w:rsid w:val="00BF29CB"/>
    <w:rsid w:val="00BF530A"/>
    <w:rsid w:val="00C02A9F"/>
    <w:rsid w:val="00C06F94"/>
    <w:rsid w:val="00C11075"/>
    <w:rsid w:val="00C129B8"/>
    <w:rsid w:val="00C14EFD"/>
    <w:rsid w:val="00C16683"/>
    <w:rsid w:val="00C27622"/>
    <w:rsid w:val="00C3592A"/>
    <w:rsid w:val="00C36100"/>
    <w:rsid w:val="00C37EC0"/>
    <w:rsid w:val="00C40AD6"/>
    <w:rsid w:val="00C425BA"/>
    <w:rsid w:val="00C42CFD"/>
    <w:rsid w:val="00C44006"/>
    <w:rsid w:val="00C478C8"/>
    <w:rsid w:val="00C537C8"/>
    <w:rsid w:val="00C6269B"/>
    <w:rsid w:val="00C62FCA"/>
    <w:rsid w:val="00C6680C"/>
    <w:rsid w:val="00C716E3"/>
    <w:rsid w:val="00C722EB"/>
    <w:rsid w:val="00C72F80"/>
    <w:rsid w:val="00C85F7B"/>
    <w:rsid w:val="00CA1274"/>
    <w:rsid w:val="00CA5385"/>
    <w:rsid w:val="00CB1CFD"/>
    <w:rsid w:val="00CB61FD"/>
    <w:rsid w:val="00CC2E2A"/>
    <w:rsid w:val="00CC7A0A"/>
    <w:rsid w:val="00CD0758"/>
    <w:rsid w:val="00CD2F91"/>
    <w:rsid w:val="00CE0C46"/>
    <w:rsid w:val="00CE0D87"/>
    <w:rsid w:val="00CE4611"/>
    <w:rsid w:val="00CE47A1"/>
    <w:rsid w:val="00CE5905"/>
    <w:rsid w:val="00CF720B"/>
    <w:rsid w:val="00D00ADD"/>
    <w:rsid w:val="00D07DA0"/>
    <w:rsid w:val="00D10080"/>
    <w:rsid w:val="00D1304D"/>
    <w:rsid w:val="00D15C86"/>
    <w:rsid w:val="00D16E3A"/>
    <w:rsid w:val="00D30420"/>
    <w:rsid w:val="00D31B26"/>
    <w:rsid w:val="00D34F97"/>
    <w:rsid w:val="00D41666"/>
    <w:rsid w:val="00D41D69"/>
    <w:rsid w:val="00D43A43"/>
    <w:rsid w:val="00D45C01"/>
    <w:rsid w:val="00D46CB0"/>
    <w:rsid w:val="00D50779"/>
    <w:rsid w:val="00D53B75"/>
    <w:rsid w:val="00D6008E"/>
    <w:rsid w:val="00D70259"/>
    <w:rsid w:val="00D72F49"/>
    <w:rsid w:val="00D752F9"/>
    <w:rsid w:val="00D75CBA"/>
    <w:rsid w:val="00D836CE"/>
    <w:rsid w:val="00D95F58"/>
    <w:rsid w:val="00D96191"/>
    <w:rsid w:val="00DA6733"/>
    <w:rsid w:val="00DA6B61"/>
    <w:rsid w:val="00DA7186"/>
    <w:rsid w:val="00DC028E"/>
    <w:rsid w:val="00DC13DA"/>
    <w:rsid w:val="00DC16D3"/>
    <w:rsid w:val="00DC2B95"/>
    <w:rsid w:val="00DD210E"/>
    <w:rsid w:val="00DD6786"/>
    <w:rsid w:val="00DE12F1"/>
    <w:rsid w:val="00DE4150"/>
    <w:rsid w:val="00DE517E"/>
    <w:rsid w:val="00DE618E"/>
    <w:rsid w:val="00DF2C91"/>
    <w:rsid w:val="00DF7F67"/>
    <w:rsid w:val="00E03CC5"/>
    <w:rsid w:val="00E14B0A"/>
    <w:rsid w:val="00E179C4"/>
    <w:rsid w:val="00E21B06"/>
    <w:rsid w:val="00E342E8"/>
    <w:rsid w:val="00E34518"/>
    <w:rsid w:val="00E360F7"/>
    <w:rsid w:val="00E509AA"/>
    <w:rsid w:val="00E52E7B"/>
    <w:rsid w:val="00E57711"/>
    <w:rsid w:val="00E61162"/>
    <w:rsid w:val="00E6552C"/>
    <w:rsid w:val="00E76B69"/>
    <w:rsid w:val="00E803D8"/>
    <w:rsid w:val="00E8187C"/>
    <w:rsid w:val="00E836BB"/>
    <w:rsid w:val="00E838B4"/>
    <w:rsid w:val="00E83FD5"/>
    <w:rsid w:val="00E84979"/>
    <w:rsid w:val="00E86E9D"/>
    <w:rsid w:val="00E9402D"/>
    <w:rsid w:val="00EA3AAB"/>
    <w:rsid w:val="00EC12F4"/>
    <w:rsid w:val="00EC148E"/>
    <w:rsid w:val="00EC755E"/>
    <w:rsid w:val="00ED1B11"/>
    <w:rsid w:val="00ED7DF8"/>
    <w:rsid w:val="00EE291F"/>
    <w:rsid w:val="00EF127B"/>
    <w:rsid w:val="00F066D7"/>
    <w:rsid w:val="00F149AA"/>
    <w:rsid w:val="00F15BFC"/>
    <w:rsid w:val="00F15FB6"/>
    <w:rsid w:val="00F272C1"/>
    <w:rsid w:val="00F36CF3"/>
    <w:rsid w:val="00F37FA8"/>
    <w:rsid w:val="00F466BD"/>
    <w:rsid w:val="00F468FC"/>
    <w:rsid w:val="00F47103"/>
    <w:rsid w:val="00F500D3"/>
    <w:rsid w:val="00F510E4"/>
    <w:rsid w:val="00F512E8"/>
    <w:rsid w:val="00F55006"/>
    <w:rsid w:val="00F57829"/>
    <w:rsid w:val="00F63F48"/>
    <w:rsid w:val="00F64F7A"/>
    <w:rsid w:val="00F72883"/>
    <w:rsid w:val="00F742F2"/>
    <w:rsid w:val="00F74A6F"/>
    <w:rsid w:val="00F75877"/>
    <w:rsid w:val="00F82319"/>
    <w:rsid w:val="00F82B04"/>
    <w:rsid w:val="00F82BD3"/>
    <w:rsid w:val="00F83818"/>
    <w:rsid w:val="00F866C5"/>
    <w:rsid w:val="00F870F7"/>
    <w:rsid w:val="00F9107C"/>
    <w:rsid w:val="00F9700F"/>
    <w:rsid w:val="00FA1C46"/>
    <w:rsid w:val="00FA5D57"/>
    <w:rsid w:val="00FB2725"/>
    <w:rsid w:val="00FB4426"/>
    <w:rsid w:val="00FB7E8E"/>
    <w:rsid w:val="00FC1612"/>
    <w:rsid w:val="00FC454A"/>
    <w:rsid w:val="00FC5EC3"/>
    <w:rsid w:val="00FD6D4C"/>
    <w:rsid w:val="00FE1DCF"/>
    <w:rsid w:val="00FE5377"/>
    <w:rsid w:val="00FE71F1"/>
    <w:rsid w:val="00FE74EC"/>
    <w:rsid w:val="00FF12F0"/>
    <w:rsid w:val="00FF1B8A"/>
    <w:rsid w:val="00FF264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FFF5D6"/>
  <w15:docId w15:val="{C78954FB-FBDD-44D8-A84D-6F3ECD8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59"/>
    <w:pPr>
      <w:suppressAutoHyphens/>
      <w:spacing w:after="240" w:line="360" w:lineRule="auto"/>
      <w:ind w:firstLine="709"/>
      <w:jc w:val="both"/>
    </w:pPr>
    <w:rPr>
      <w:rFonts w:ascii="Verdana" w:eastAsia="Times New Roman" w:hAnsi="Verdana"/>
      <w:sz w:val="24"/>
      <w:lang w:eastAsia="ar-SA" w:bidi="ar-SA"/>
    </w:rPr>
  </w:style>
  <w:style w:type="paragraph" w:styleId="Ttulo1">
    <w:name w:val="heading 1"/>
    <w:basedOn w:val="Normal"/>
    <w:next w:val="Normal"/>
    <w:link w:val="Ttulo1Car"/>
    <w:qFormat/>
    <w:locked/>
    <w:rsid w:val="00E52E7B"/>
    <w:pPr>
      <w:keepNext/>
      <w:keepLines/>
      <w:pageBreakBefore/>
      <w:numPr>
        <w:numId w:val="19"/>
      </w:numPr>
      <w:spacing w:before="24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locked/>
    <w:rsid w:val="00F82319"/>
    <w:pPr>
      <w:keepNext/>
      <w:keepLines/>
      <w:numPr>
        <w:ilvl w:val="1"/>
        <w:numId w:val="19"/>
      </w:numPr>
      <w:spacing w:before="200" w:after="0"/>
      <w:ind w:left="576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locked/>
    <w:rsid w:val="0025335F"/>
    <w:pPr>
      <w:keepNext/>
      <w:keepLines/>
      <w:numPr>
        <w:ilvl w:val="2"/>
        <w:numId w:val="19"/>
      </w:numPr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locked/>
    <w:rsid w:val="0025335F"/>
    <w:pPr>
      <w:keepNext/>
      <w:keepLines/>
      <w:numPr>
        <w:ilvl w:val="3"/>
        <w:numId w:val="19"/>
      </w:numPr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locked/>
    <w:rsid w:val="0025335F"/>
    <w:pPr>
      <w:keepNext/>
      <w:keepLines/>
      <w:numPr>
        <w:ilvl w:val="4"/>
        <w:numId w:val="19"/>
      </w:numPr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tulo6">
    <w:name w:val="heading 6"/>
    <w:basedOn w:val="Normal"/>
    <w:next w:val="Normal"/>
    <w:link w:val="Ttulo6Car"/>
    <w:qFormat/>
    <w:locked/>
    <w:rsid w:val="0025335F"/>
    <w:pPr>
      <w:keepNext/>
      <w:keepLines/>
      <w:numPr>
        <w:ilvl w:val="5"/>
        <w:numId w:val="19"/>
      </w:numPr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locked/>
    <w:rsid w:val="0025335F"/>
    <w:pPr>
      <w:keepNext/>
      <w:keepLines/>
      <w:numPr>
        <w:ilvl w:val="6"/>
        <w:numId w:val="19"/>
      </w:numPr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locked/>
    <w:rsid w:val="0025335F"/>
    <w:pPr>
      <w:keepNext/>
      <w:keepLines/>
      <w:numPr>
        <w:ilvl w:val="7"/>
        <w:numId w:val="19"/>
      </w:numPr>
      <w:spacing w:before="200" w:after="0"/>
      <w:outlineLvl w:val="7"/>
    </w:pPr>
    <w:rPr>
      <w:rFonts w:ascii="Cambria" w:eastAsia="MS Gothic" w:hAnsi="Cambria"/>
      <w:color w:val="404040"/>
      <w:sz w:val="20"/>
    </w:rPr>
  </w:style>
  <w:style w:type="paragraph" w:styleId="Ttulo9">
    <w:name w:val="heading 9"/>
    <w:basedOn w:val="Normal"/>
    <w:next w:val="Normal"/>
    <w:link w:val="Ttulo9Car"/>
    <w:qFormat/>
    <w:locked/>
    <w:rsid w:val="0025335F"/>
    <w:pPr>
      <w:keepNext/>
      <w:keepLines/>
      <w:numPr>
        <w:ilvl w:val="8"/>
        <w:numId w:val="19"/>
      </w:numPr>
      <w:spacing w:before="200" w:after="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uiPriority w:val="99"/>
    <w:rsid w:val="00F55006"/>
    <w:pPr>
      <w:ind w:left="708"/>
    </w:pPr>
  </w:style>
  <w:style w:type="character" w:styleId="Refdecomentario">
    <w:name w:val="annotation reference"/>
    <w:uiPriority w:val="99"/>
    <w:semiHidden/>
    <w:rsid w:val="00F55006"/>
    <w:rPr>
      <w:rFonts w:cs="Times New Roman"/>
      <w:sz w:val="16"/>
    </w:rPr>
  </w:style>
  <w:style w:type="paragraph" w:styleId="Textocomentario">
    <w:name w:val="annotation text"/>
    <w:basedOn w:val="Normal"/>
    <w:link w:val="TextocomentarioCar1"/>
    <w:uiPriority w:val="99"/>
    <w:semiHidden/>
    <w:rsid w:val="00F55006"/>
    <w:rPr>
      <w:rFonts w:eastAsia="Calibri"/>
      <w:sz w:val="20"/>
    </w:rPr>
  </w:style>
  <w:style w:type="character" w:customStyle="1" w:styleId="TextocomentarioCar1">
    <w:name w:val="Texto comentario Car1"/>
    <w:link w:val="Textocomentario"/>
    <w:uiPriority w:val="99"/>
    <w:semiHidden/>
    <w:locked/>
    <w:rsid w:val="00F55006"/>
    <w:rPr>
      <w:rFonts w:ascii="Verdana" w:hAnsi="Verdana" w:cs="Times New Roman"/>
      <w:sz w:val="20"/>
      <w:lang w:val="es-CL" w:eastAsia="ar-SA" w:bidi="ar-SA"/>
    </w:rPr>
  </w:style>
  <w:style w:type="character" w:customStyle="1" w:styleId="TextocomentarioCar">
    <w:name w:val="Texto comentario Car"/>
    <w:uiPriority w:val="99"/>
    <w:semiHidden/>
    <w:rsid w:val="00F55006"/>
    <w:rPr>
      <w:rFonts w:ascii="Verdana" w:hAnsi="Verdana"/>
      <w:sz w:val="20"/>
      <w:lang w:val="es-CL" w:eastAsia="ar-SA" w:bidi="ar-SA"/>
    </w:rPr>
  </w:style>
  <w:style w:type="paragraph" w:customStyle="1" w:styleId="Prrafodelista1">
    <w:name w:val="Párrafo de lista1"/>
    <w:basedOn w:val="Normal"/>
    <w:rsid w:val="00F55006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F55006"/>
    <w:pPr>
      <w:spacing w:after="0" w:line="240" w:lineRule="auto"/>
    </w:pPr>
    <w:rPr>
      <w:rFonts w:ascii="Tahoma" w:eastAsia="Calibri" w:hAnsi="Tahoma"/>
      <w:sz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F55006"/>
    <w:rPr>
      <w:rFonts w:ascii="Tahoma" w:hAnsi="Tahoma" w:cs="Times New Roman"/>
      <w:sz w:val="16"/>
      <w:lang w:val="es-CL"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9527A"/>
    <w:pPr>
      <w:spacing w:line="240" w:lineRule="auto"/>
    </w:pPr>
    <w:rPr>
      <w:b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A9527A"/>
    <w:rPr>
      <w:rFonts w:ascii="Verdana" w:hAnsi="Verdana" w:cs="Times New Roman"/>
      <w:b/>
      <w:sz w:val="20"/>
      <w:lang w:val="es-CL" w:eastAsia="ar-SA" w:bidi="ar-SA"/>
    </w:rPr>
  </w:style>
  <w:style w:type="paragraph" w:customStyle="1" w:styleId="Prrafodelista2">
    <w:name w:val="Párrafo de lista2"/>
    <w:basedOn w:val="Normal"/>
    <w:uiPriority w:val="99"/>
    <w:rsid w:val="002F7288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s-CL"/>
    </w:rPr>
  </w:style>
  <w:style w:type="table" w:styleId="Tablaconcuadrcula">
    <w:name w:val="Table Grid"/>
    <w:basedOn w:val="Tablanormal"/>
    <w:uiPriority w:val="99"/>
    <w:rsid w:val="0094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943DE1"/>
    <w:rPr>
      <w:rFonts w:eastAsia="Calibri"/>
      <w:sz w:val="20"/>
    </w:rPr>
  </w:style>
  <w:style w:type="character" w:customStyle="1" w:styleId="TextonotapieCar">
    <w:name w:val="Texto nota pie Car"/>
    <w:link w:val="Textonotapie"/>
    <w:uiPriority w:val="99"/>
    <w:locked/>
    <w:rsid w:val="00943DE1"/>
    <w:rPr>
      <w:rFonts w:ascii="Verdana" w:hAnsi="Verdana" w:cs="Times New Roman"/>
      <w:lang w:eastAsia="ar-SA" w:bidi="ar-SA"/>
    </w:rPr>
  </w:style>
  <w:style w:type="character" w:styleId="Refdenotaalpie">
    <w:name w:val="footnote reference"/>
    <w:uiPriority w:val="99"/>
    <w:semiHidden/>
    <w:rsid w:val="00943DE1"/>
    <w:rPr>
      <w:rFonts w:cs="Times New Roman"/>
      <w:vertAlign w:val="superscript"/>
    </w:rPr>
  </w:style>
  <w:style w:type="paragraph" w:customStyle="1" w:styleId="Sombreadomulticolor-nfasis11">
    <w:name w:val="Sombreado multicolor - Énfasis 11"/>
    <w:hidden/>
    <w:uiPriority w:val="99"/>
    <w:semiHidden/>
    <w:rsid w:val="001F0F9A"/>
    <w:rPr>
      <w:rFonts w:ascii="Verdana" w:eastAsia="Times New Roman" w:hAnsi="Verdana"/>
      <w:sz w:val="24"/>
      <w:lang w:eastAsia="ar-SA" w:bidi="ar-SA"/>
    </w:rPr>
  </w:style>
  <w:style w:type="paragraph" w:customStyle="1" w:styleId="Listamulticolor-nfasis12">
    <w:name w:val="Lista multicolor - Énfasis 12"/>
    <w:basedOn w:val="Normal"/>
    <w:autoRedefine/>
    <w:uiPriority w:val="34"/>
    <w:qFormat/>
    <w:rsid w:val="00B41917"/>
    <w:pPr>
      <w:widowControl w:val="0"/>
      <w:numPr>
        <w:numId w:val="35"/>
      </w:numPr>
      <w:autoSpaceDE w:val="0"/>
      <w:autoSpaceDN w:val="0"/>
      <w:adjustRightInd w:val="0"/>
      <w:spacing w:before="31" w:after="120"/>
      <w:ind w:right="49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1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B1C68"/>
    <w:rPr>
      <w:rFonts w:ascii="Verdana" w:eastAsia="Times New Roman" w:hAnsi="Verdana"/>
      <w:sz w:val="24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B1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B1C68"/>
    <w:rPr>
      <w:rFonts w:ascii="Verdana" w:eastAsia="Times New Roman" w:hAnsi="Verdana"/>
      <w:sz w:val="24"/>
      <w:szCs w:val="20"/>
      <w:lang w:eastAsia="ar-SA"/>
    </w:rPr>
  </w:style>
  <w:style w:type="character" w:styleId="Nmerodepgina">
    <w:name w:val="page number"/>
    <w:basedOn w:val="Fuentedeprrafopredeter"/>
    <w:uiPriority w:val="99"/>
    <w:semiHidden/>
    <w:unhideWhenUsed/>
    <w:rsid w:val="001B1C68"/>
  </w:style>
  <w:style w:type="character" w:customStyle="1" w:styleId="Ttulo1Car">
    <w:name w:val="Título 1 Car"/>
    <w:link w:val="Ttulo1"/>
    <w:rsid w:val="007C0486"/>
    <w:rPr>
      <w:rFonts w:ascii="Cambria" w:eastAsia="MS Gothic" w:hAnsi="Cambria"/>
      <w:b/>
      <w:bCs/>
      <w:color w:val="345A8A"/>
      <w:sz w:val="32"/>
      <w:szCs w:val="32"/>
      <w:lang w:eastAsia="ar-SA" w:bidi="ar-SA"/>
    </w:rPr>
  </w:style>
  <w:style w:type="character" w:customStyle="1" w:styleId="Ttulo2Car">
    <w:name w:val="Título 2 Car"/>
    <w:link w:val="Ttulo2"/>
    <w:rsid w:val="0025335F"/>
    <w:rPr>
      <w:rFonts w:ascii="Cambria" w:eastAsia="MS Gothic" w:hAnsi="Cambria"/>
      <w:b/>
      <w:bCs/>
      <w:color w:val="4F81BD"/>
      <w:sz w:val="26"/>
      <w:szCs w:val="26"/>
      <w:lang w:eastAsia="ar-SA" w:bidi="ar-SA"/>
    </w:rPr>
  </w:style>
  <w:style w:type="paragraph" w:styleId="Ttulo">
    <w:name w:val="Title"/>
    <w:basedOn w:val="Normal"/>
    <w:next w:val="Normal"/>
    <w:link w:val="TtuloCar"/>
    <w:qFormat/>
    <w:locked/>
    <w:rsid w:val="009B73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44"/>
      <w:szCs w:val="44"/>
    </w:rPr>
  </w:style>
  <w:style w:type="character" w:customStyle="1" w:styleId="TtuloCar">
    <w:name w:val="Título Car"/>
    <w:link w:val="Ttulo"/>
    <w:rsid w:val="009B7359"/>
    <w:rPr>
      <w:rFonts w:ascii="Cambria" w:eastAsia="MS Gothic" w:hAnsi="Cambria" w:cs="Times New Roman"/>
      <w:color w:val="17365D"/>
      <w:spacing w:val="5"/>
      <w:kern w:val="28"/>
      <w:sz w:val="44"/>
      <w:szCs w:val="44"/>
      <w:lang w:eastAsia="ar-SA"/>
    </w:rPr>
  </w:style>
  <w:style w:type="paragraph" w:styleId="TDC1">
    <w:name w:val="toc 1"/>
    <w:basedOn w:val="Normal"/>
    <w:next w:val="Normal"/>
    <w:autoRedefine/>
    <w:uiPriority w:val="39"/>
    <w:locked/>
    <w:rsid w:val="0034241C"/>
    <w:pPr>
      <w:tabs>
        <w:tab w:val="left" w:pos="1200"/>
        <w:tab w:val="right" w:leader="dot" w:pos="8828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</w:rPr>
  </w:style>
  <w:style w:type="character" w:customStyle="1" w:styleId="Ttulo3Car">
    <w:name w:val="Título 3 Car"/>
    <w:link w:val="Ttulo3"/>
    <w:rsid w:val="0025335F"/>
    <w:rPr>
      <w:rFonts w:ascii="Cambria" w:eastAsia="MS Gothic" w:hAnsi="Cambria"/>
      <w:b/>
      <w:bCs/>
      <w:color w:val="4F81BD"/>
      <w:sz w:val="24"/>
      <w:lang w:eastAsia="ar-SA" w:bidi="ar-SA"/>
    </w:rPr>
  </w:style>
  <w:style w:type="character" w:customStyle="1" w:styleId="Ttulo4Car">
    <w:name w:val="Título 4 Car"/>
    <w:link w:val="Ttulo4"/>
    <w:rsid w:val="0025335F"/>
    <w:rPr>
      <w:rFonts w:ascii="Cambria" w:eastAsia="MS Gothic" w:hAnsi="Cambria"/>
      <w:b/>
      <w:bCs/>
      <w:i/>
      <w:iCs/>
      <w:color w:val="4F81BD"/>
      <w:sz w:val="24"/>
      <w:lang w:eastAsia="ar-SA" w:bidi="ar-SA"/>
    </w:rPr>
  </w:style>
  <w:style w:type="character" w:customStyle="1" w:styleId="Ttulo5Car">
    <w:name w:val="Título 5 Car"/>
    <w:link w:val="Ttulo5"/>
    <w:rsid w:val="0025335F"/>
    <w:rPr>
      <w:rFonts w:ascii="Cambria" w:eastAsia="MS Gothic" w:hAnsi="Cambria"/>
      <w:color w:val="243F60"/>
      <w:sz w:val="24"/>
      <w:lang w:eastAsia="ar-SA" w:bidi="ar-SA"/>
    </w:rPr>
  </w:style>
  <w:style w:type="character" w:customStyle="1" w:styleId="Ttulo6Car">
    <w:name w:val="Título 6 Car"/>
    <w:link w:val="Ttulo6"/>
    <w:rsid w:val="0025335F"/>
    <w:rPr>
      <w:rFonts w:ascii="Cambria" w:eastAsia="MS Gothic" w:hAnsi="Cambria"/>
      <w:i/>
      <w:iCs/>
      <w:color w:val="243F60"/>
      <w:sz w:val="24"/>
      <w:lang w:eastAsia="ar-SA" w:bidi="ar-SA"/>
    </w:rPr>
  </w:style>
  <w:style w:type="character" w:customStyle="1" w:styleId="Ttulo7Car">
    <w:name w:val="Título 7 Car"/>
    <w:link w:val="Ttulo7"/>
    <w:rsid w:val="0025335F"/>
    <w:rPr>
      <w:rFonts w:ascii="Cambria" w:eastAsia="MS Gothic" w:hAnsi="Cambria"/>
      <w:i/>
      <w:iCs/>
      <w:color w:val="404040"/>
      <w:sz w:val="24"/>
      <w:lang w:eastAsia="ar-SA" w:bidi="ar-SA"/>
    </w:rPr>
  </w:style>
  <w:style w:type="character" w:customStyle="1" w:styleId="Ttulo8Car">
    <w:name w:val="Título 8 Car"/>
    <w:link w:val="Ttulo8"/>
    <w:rsid w:val="0025335F"/>
    <w:rPr>
      <w:rFonts w:ascii="Cambria" w:eastAsia="MS Gothic" w:hAnsi="Cambria"/>
      <w:color w:val="404040"/>
      <w:lang w:eastAsia="ar-SA" w:bidi="ar-SA"/>
    </w:rPr>
  </w:style>
  <w:style w:type="character" w:customStyle="1" w:styleId="Ttulo9Car">
    <w:name w:val="Título 9 Car"/>
    <w:link w:val="Ttulo9"/>
    <w:rsid w:val="0025335F"/>
    <w:rPr>
      <w:rFonts w:ascii="Cambria" w:eastAsia="MS Gothic" w:hAnsi="Cambria"/>
      <w:i/>
      <w:iCs/>
      <w:color w:val="404040"/>
      <w:lang w:eastAsia="ar-SA" w:bidi="ar-SA"/>
    </w:rPr>
  </w:style>
  <w:style w:type="paragraph" w:styleId="TDC2">
    <w:name w:val="toc 2"/>
    <w:basedOn w:val="Normal"/>
    <w:next w:val="Normal"/>
    <w:autoRedefine/>
    <w:uiPriority w:val="39"/>
    <w:locked/>
    <w:rsid w:val="004676B6"/>
    <w:pPr>
      <w:spacing w:after="0"/>
      <w:ind w:left="240"/>
      <w:jc w:val="left"/>
    </w:pPr>
    <w:rPr>
      <w:rFonts w:asciiTheme="minorHAnsi" w:hAnsiTheme="minorHAnsi" w:cstheme="minorHAnsi"/>
      <w:smallCaps/>
      <w:sz w:val="20"/>
    </w:rPr>
  </w:style>
  <w:style w:type="paragraph" w:styleId="TDC3">
    <w:name w:val="toc 3"/>
    <w:basedOn w:val="Normal"/>
    <w:next w:val="Normal"/>
    <w:autoRedefine/>
    <w:uiPriority w:val="39"/>
    <w:locked/>
    <w:rsid w:val="00B86811"/>
    <w:pPr>
      <w:spacing w:after="0"/>
      <w:ind w:left="480"/>
      <w:jc w:val="left"/>
    </w:pPr>
    <w:rPr>
      <w:rFonts w:asciiTheme="minorHAnsi" w:hAnsiTheme="minorHAnsi" w:cstheme="minorHAnsi"/>
      <w:i/>
      <w:iCs/>
      <w:sz w:val="20"/>
    </w:rPr>
  </w:style>
  <w:style w:type="paragraph" w:styleId="TDC4">
    <w:name w:val="toc 4"/>
    <w:basedOn w:val="Normal"/>
    <w:next w:val="Normal"/>
    <w:autoRedefine/>
    <w:locked/>
    <w:rsid w:val="00B86811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locked/>
    <w:rsid w:val="00B86811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locked/>
    <w:rsid w:val="00B86811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locked/>
    <w:rsid w:val="00B86811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locked/>
    <w:rsid w:val="00B86811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locked/>
    <w:rsid w:val="00B86811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Revisin">
    <w:name w:val="Revision"/>
    <w:hidden/>
    <w:uiPriority w:val="71"/>
    <w:rsid w:val="009450C8"/>
    <w:rPr>
      <w:rFonts w:ascii="Verdana" w:eastAsia="Times New Roman" w:hAnsi="Verdana"/>
      <w:sz w:val="24"/>
      <w:lang w:eastAsia="ar-SA" w:bidi="ar-SA"/>
    </w:rPr>
  </w:style>
  <w:style w:type="paragraph" w:styleId="Prrafodelista">
    <w:name w:val="List Paragraph"/>
    <w:basedOn w:val="Normal"/>
    <w:uiPriority w:val="72"/>
    <w:qFormat/>
    <w:rsid w:val="00554BAD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585D3E"/>
    <w:pPr>
      <w:pageBreakBefore w:val="0"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eastAsia="es-CL"/>
    </w:rPr>
  </w:style>
  <w:style w:type="character" w:styleId="Hipervnculo">
    <w:name w:val="Hyperlink"/>
    <w:basedOn w:val="Fuentedeprrafopredeter"/>
    <w:uiPriority w:val="99"/>
    <w:unhideWhenUsed/>
    <w:rsid w:val="00585D3E"/>
    <w:rPr>
      <w:color w:val="0563C1" w:themeColor="hyperlink"/>
      <w:u w:val="single"/>
    </w:rPr>
  </w:style>
  <w:style w:type="character" w:styleId="Textoennegrita">
    <w:name w:val="Strong"/>
    <w:basedOn w:val="Fuentedeprrafopredeter"/>
    <w:qFormat/>
    <w:locked/>
    <w:rsid w:val="0034241C"/>
    <w:rPr>
      <w:b/>
      <w:bCs/>
    </w:rPr>
  </w:style>
  <w:style w:type="paragraph" w:customStyle="1" w:styleId="p1">
    <w:name w:val="p1"/>
    <w:basedOn w:val="Normal"/>
    <w:rsid w:val="002C05E3"/>
    <w:pPr>
      <w:suppressAutoHyphens w:val="0"/>
      <w:spacing w:after="0" w:line="240" w:lineRule="auto"/>
      <w:ind w:firstLine="0"/>
      <w:jc w:val="left"/>
    </w:pPr>
    <w:rPr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95E811-DB7C-4E65-8C17-44D0E8FAF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9A466-07BE-41CE-AD47-FBFED98D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2649</Words>
  <Characters>14572</Characters>
  <Application>Microsoft Office Word</Application>
  <DocSecurity>0</DocSecurity>
  <Lines>121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Eduardo Barria Vera</dc:creator>
  <cp:lastModifiedBy>Daniel Gurovich</cp:lastModifiedBy>
  <cp:revision>3</cp:revision>
  <cp:lastPrinted>2025-06-14T18:11:00Z</cp:lastPrinted>
  <dcterms:created xsi:type="dcterms:W3CDTF">2025-06-14T18:11:00Z</dcterms:created>
  <dcterms:modified xsi:type="dcterms:W3CDTF">2025-06-14T18:11:00Z</dcterms:modified>
</cp:coreProperties>
</file>