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154E9" w:rsidRDefault="00965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CONSULTA CIUDADANA</w:t>
      </w:r>
    </w:p>
    <w:p w14:paraId="00000002" w14:textId="77777777" w:rsidR="008154E9" w:rsidRDefault="0081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2" w:name="_45lo3cgwewfa" w:colFirst="0" w:colLast="0"/>
      <w:bookmarkEnd w:id="2"/>
    </w:p>
    <w:p w14:paraId="00000003" w14:textId="77777777" w:rsidR="008154E9" w:rsidRDefault="00965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imzjffhi9re7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LINEAMIENTOS DEL CONCURSO PÚBLICO QUE OTORGA PERMISOS DE SERVICIO LIMITADO DE TELECOMUNICACIONES PARA EL DESPLIEGUE Y PROVISIÓN DE SOLUCIONES DE COMUNICACIÓN A DISTANCIA MEDIANTE EL USO DE TECNOLOGÍA 5G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04" w14:textId="77777777" w:rsidR="008154E9" w:rsidRDefault="0081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4" w:name="_onn2rv5xb994" w:colFirst="0" w:colLast="0"/>
      <w:bookmarkEnd w:id="4"/>
    </w:p>
    <w:p w14:paraId="00000005" w14:textId="77777777" w:rsidR="008154E9" w:rsidRDefault="00815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5" w:name="_27mnpdapfkmb" w:colFirst="0" w:colLast="0"/>
      <w:bookmarkEnd w:id="5"/>
    </w:p>
    <w:p w14:paraId="00000006" w14:textId="77777777" w:rsidR="008154E9" w:rsidRDefault="009653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qegvftwhmizv" w:colFirst="0" w:colLast="0"/>
      <w:bookmarkEnd w:id="6"/>
      <w:r>
        <w:rPr>
          <w:rFonts w:ascii="Times New Roman" w:eastAsia="Times New Roman" w:hAnsi="Times New Roman" w:cs="Times New Roman"/>
          <w:b/>
          <w:sz w:val="24"/>
          <w:szCs w:val="24"/>
        </w:rPr>
        <w:t>INTRODUCCIÓN</w:t>
      </w:r>
    </w:p>
    <w:p w14:paraId="00000007" w14:textId="77777777" w:rsidR="008154E9" w:rsidRDefault="00815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q3ys8jejfdav" w:colFirst="0" w:colLast="0"/>
      <w:bookmarkEnd w:id="7"/>
    </w:p>
    <w:p w14:paraId="00000008" w14:textId="77777777" w:rsidR="008154E9" w:rsidRDefault="0096538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Subsecretaría de Telecomunicaciones se encuentra legalmente mandatada a participar de la planificación del desarrollo de las telecomunicaciones del país y a promover ese progreso a partir de las nuevas tecnologías existentes, como ocurre hoy en día con </w:t>
      </w:r>
      <w:r>
        <w:rPr>
          <w:rFonts w:ascii="Times New Roman" w:eastAsia="Times New Roman" w:hAnsi="Times New Roman" w:cs="Times New Roman"/>
          <w:sz w:val="24"/>
          <w:szCs w:val="24"/>
        </w:rPr>
        <w:t>la irrupción de los servicios móviles de quinta generación (5G) y el internet de las cosas (IoT). A su vez, cada día son más aquellos sectores productivos que se encuentran demandando el uso de nuevas tecnologías para hacer frente a los desafíos que impone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los procesos inherentes al sector minero, portuario, agrícola, industrial, transporte, etc. </w:t>
      </w:r>
    </w:p>
    <w:p w14:paraId="00000009" w14:textId="77777777" w:rsidR="008154E9" w:rsidRDefault="008154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8154E9" w:rsidRDefault="0096538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Cada uno de estos campos de la economía presenta una serie de necesidades de conectividad para sus respectivos procesos, lo que en algunos casos se ha podido sa</w:t>
      </w:r>
      <w:r>
        <w:rPr>
          <w:rFonts w:ascii="Times New Roman" w:eastAsia="Times New Roman" w:hAnsi="Times New Roman" w:cs="Times New Roman"/>
          <w:sz w:val="24"/>
          <w:szCs w:val="24"/>
        </w:rPr>
        <w:t>tisfacer mediante soluciones tecnológicas basadas en estándares 4G, 3G e incluso de un menor ancho de banda. Actualmente estas soluciones son contratadas directamente por los usuarios a las grandes compañías operadoras de telecomunicaciones, cuyas unidades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negocio especializado han construido tales soluciones a la medida de los clientes. </w:t>
      </w:r>
    </w:p>
    <w:p w14:paraId="0000000B" w14:textId="77777777" w:rsidR="008154E9" w:rsidRDefault="008154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8154E9" w:rsidRDefault="0096538D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 embargo, es del máximo interés de la Subsecretaría de Telecomunicaciones que, como ha ocurrido en otras experiencias comparadas, sean las propias empresas producto</w:t>
      </w:r>
      <w:r>
        <w:rPr>
          <w:rFonts w:ascii="Times New Roman" w:eastAsia="Times New Roman" w:hAnsi="Times New Roman" w:cs="Times New Roman"/>
          <w:sz w:val="24"/>
          <w:szCs w:val="24"/>
        </w:rPr>
        <w:t>ras quienes desarrollen e implementen las soluciones tecnológicas que demanden sus respectivos campos de negocio. Para ello, se busca otorgar algunos permisos de servicio limitado de telecomunicaciones que faculten a sus titulares para utilizar determinada</w:t>
      </w:r>
      <w:r>
        <w:rPr>
          <w:rFonts w:ascii="Times New Roman" w:eastAsia="Times New Roman" w:hAnsi="Times New Roman" w:cs="Times New Roman"/>
          <w:sz w:val="24"/>
          <w:szCs w:val="24"/>
        </w:rPr>
        <w:t>s frecuencias del espectro radioeléctrico a fin de satisfacer las necesidades específicas de comunicación a distancia de cada empresa o entidad particular. Esto busca potenciar el desarrollo tecnológico del sector minero, portuario, agroindustrial, de tran</w:t>
      </w:r>
      <w:r>
        <w:rPr>
          <w:rFonts w:ascii="Times New Roman" w:eastAsia="Times New Roman" w:hAnsi="Times New Roman" w:cs="Times New Roman"/>
          <w:sz w:val="24"/>
          <w:szCs w:val="24"/>
        </w:rPr>
        <w:t>sporte y otras operaciones de similar escala, mediante el despliegue y uso de tecnologías 5G.</w:t>
      </w:r>
    </w:p>
    <w:p w14:paraId="0000000D" w14:textId="77777777" w:rsidR="008154E9" w:rsidRDefault="00815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a2nvgdrcv2rf" w:colFirst="0" w:colLast="0"/>
      <w:bookmarkEnd w:id="8"/>
    </w:p>
    <w:p w14:paraId="0000000E" w14:textId="77777777" w:rsidR="008154E9" w:rsidRDefault="009653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ghw5ongn6nda" w:colFirst="0" w:colLast="0"/>
      <w:bookmarkEnd w:id="9"/>
      <w:r>
        <w:rPr>
          <w:rFonts w:ascii="Times New Roman" w:eastAsia="Times New Roman" w:hAnsi="Times New Roman" w:cs="Times New Roman"/>
          <w:b/>
          <w:sz w:val="24"/>
          <w:szCs w:val="24"/>
        </w:rPr>
        <w:t>DESCRIPCIÓN DE LA CONSULTA</w:t>
      </w:r>
    </w:p>
    <w:p w14:paraId="0000000F" w14:textId="77777777" w:rsidR="008154E9" w:rsidRDefault="00815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1tmfj2fanbck" w:colFirst="0" w:colLast="0"/>
      <w:bookmarkEnd w:id="10"/>
    </w:p>
    <w:p w14:paraId="00000010" w14:textId="77777777" w:rsidR="008154E9" w:rsidRDefault="0096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v4jqr49mmfxn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La presente consulta ciudadana consiste en un documento con los antecedentes generales, objetivo y modelo de asignación de los permis</w:t>
      </w:r>
      <w:r>
        <w:rPr>
          <w:rFonts w:ascii="Times New Roman" w:eastAsia="Times New Roman" w:hAnsi="Times New Roman" w:cs="Times New Roman"/>
          <w:sz w:val="24"/>
          <w:szCs w:val="24"/>
        </w:rPr>
        <w:t>os de servicio limitado de telecomunicaciones para desarrollar e implementar usos y aplicaciones industriales basadas en tecnología 5G. A continuación, el documento da cuenta de un listado de seis (06) preguntas, tanto de orden técnico como administrativo,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se encuentran dirigidas a la sociedad civil, la academia, la industria y los sectores productivos acerca de los lineamientos indispensables que deben consagrar las bases del concurso público en la materia. </w:t>
      </w:r>
    </w:p>
    <w:p w14:paraId="00000011" w14:textId="77777777" w:rsidR="008154E9" w:rsidRDefault="00815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582on0vb5txv" w:colFirst="0" w:colLast="0"/>
      <w:bookmarkEnd w:id="12"/>
    </w:p>
    <w:p w14:paraId="00000012" w14:textId="77777777" w:rsidR="008154E9" w:rsidRDefault="009653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l5osdi3brejl" w:colFirst="0" w:colLast="0"/>
      <w:bookmarkEnd w:id="13"/>
      <w:r>
        <w:rPr>
          <w:rFonts w:ascii="Times New Roman" w:eastAsia="Times New Roman" w:hAnsi="Times New Roman" w:cs="Times New Roman"/>
          <w:b/>
          <w:sz w:val="24"/>
          <w:szCs w:val="24"/>
        </w:rPr>
        <w:t>CONCLUSIÓN</w:t>
      </w:r>
    </w:p>
    <w:p w14:paraId="00000013" w14:textId="77777777" w:rsidR="008154E9" w:rsidRDefault="00815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4" w:name="_7r9crpb23ln" w:colFirst="0" w:colLast="0"/>
      <w:bookmarkEnd w:id="14"/>
    </w:p>
    <w:p w14:paraId="00000014" w14:textId="77777777" w:rsidR="008154E9" w:rsidRDefault="00965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omxg9itgm9u8" w:colFirst="0" w:colLast="0"/>
      <w:bookmarkEnd w:id="15"/>
      <w:r>
        <w:rPr>
          <w:rFonts w:ascii="Times New Roman" w:eastAsia="Times New Roman" w:hAnsi="Times New Roman" w:cs="Times New Roman"/>
          <w:sz w:val="24"/>
          <w:szCs w:val="24"/>
        </w:rPr>
        <w:t>Debido a la importancia que rev</w:t>
      </w:r>
      <w:r>
        <w:rPr>
          <w:rFonts w:ascii="Times New Roman" w:eastAsia="Times New Roman" w:hAnsi="Times New Roman" w:cs="Times New Roman"/>
          <w:sz w:val="24"/>
          <w:szCs w:val="24"/>
        </w:rPr>
        <w:t>iste para el país la introducción de las nuevas tecnologías inalámbricas (5G), por un lado, y las necesidades concretas manifestadas por los diversos sectores productivos, por el otro, se ha resuelto preparar las bases de un concurso público que otorgue 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rmisos de servicio limitado de telecomunicaciones, cuyos lineamientos esenciales son sometidos a consulta de la ciudadanía. </w:t>
      </w:r>
    </w:p>
    <w:p w14:paraId="00000015" w14:textId="77777777" w:rsidR="008154E9" w:rsidRDefault="008154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154E9">
      <w:pgSz w:w="12240" w:h="1872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24175"/>
    <w:multiLevelType w:val="multilevel"/>
    <w:tmpl w:val="A9CA29C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154E9"/>
    <w:rsid w:val="008154E9"/>
    <w:rsid w:val="0096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Gisselle Aeta Valenzuela</dc:creator>
  <cp:lastModifiedBy>Gisselle Aeta Valenzuela</cp:lastModifiedBy>
  <cp:revision>2</cp:revision>
  <dcterms:created xsi:type="dcterms:W3CDTF">2019-10-08T19:33:00Z</dcterms:created>
  <dcterms:modified xsi:type="dcterms:W3CDTF">2019-10-08T19:33:00Z</dcterms:modified>
</cp:coreProperties>
</file>