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B80D0" w14:textId="6E0816A1" w:rsidR="00B93CE3" w:rsidRPr="00CE717E" w:rsidRDefault="008623D7" w:rsidP="004037A7">
      <w:pPr>
        <w:pStyle w:val="Ttulo1"/>
        <w:rPr>
          <w:sz w:val="32"/>
          <w:u w:val="single"/>
        </w:rPr>
      </w:pPr>
      <w:bookmarkStart w:id="0" w:name="_GoBack"/>
      <w:bookmarkEnd w:id="0"/>
      <w:r w:rsidRPr="00CE717E">
        <w:rPr>
          <w:sz w:val="32"/>
          <w:u w:val="single"/>
        </w:rPr>
        <w:t>Consulta P</w:t>
      </w:r>
      <w:r w:rsidR="00D91B99" w:rsidRPr="00CE717E">
        <w:rPr>
          <w:sz w:val="32"/>
          <w:u w:val="single"/>
        </w:rPr>
        <w:t>ública</w:t>
      </w:r>
      <w:r w:rsidR="00A40969" w:rsidRPr="00CE717E">
        <w:rPr>
          <w:sz w:val="32"/>
          <w:u w:val="single"/>
        </w:rPr>
        <w:t xml:space="preserve"> </w:t>
      </w:r>
      <w:r w:rsidR="004D52BA" w:rsidRPr="00CE717E">
        <w:rPr>
          <w:sz w:val="32"/>
          <w:u w:val="single"/>
        </w:rPr>
        <w:t>Concurso</w:t>
      </w:r>
      <w:r w:rsidR="00A40969" w:rsidRPr="00CE717E">
        <w:rPr>
          <w:sz w:val="32"/>
          <w:u w:val="single"/>
        </w:rPr>
        <w:t xml:space="preserve"> 5G</w:t>
      </w:r>
      <w:r w:rsidRPr="00CE717E">
        <w:rPr>
          <w:sz w:val="32"/>
          <w:u w:val="single"/>
        </w:rPr>
        <w:t xml:space="preserve"> en Chile</w:t>
      </w:r>
    </w:p>
    <w:p w14:paraId="19BE229B" w14:textId="77777777" w:rsidR="00CE717E" w:rsidRPr="00CE717E" w:rsidRDefault="00CE717E" w:rsidP="00CE717E"/>
    <w:p w14:paraId="28698734" w14:textId="750CA9BA" w:rsidR="008623D7" w:rsidRPr="00CE717E" w:rsidRDefault="008623D7" w:rsidP="00CE717E">
      <w:pPr>
        <w:pStyle w:val="Prrafodelista"/>
        <w:keepNext/>
        <w:keepLines/>
        <w:numPr>
          <w:ilvl w:val="0"/>
          <w:numId w:val="8"/>
        </w:numPr>
        <w:spacing w:before="40" w:after="0"/>
        <w:outlineLvl w:val="1"/>
        <w:rPr>
          <w:rFonts w:asciiTheme="majorHAnsi" w:eastAsiaTheme="majorEastAsia" w:hAnsiTheme="majorHAnsi" w:cstheme="majorBidi"/>
          <w:b/>
          <w:color w:val="000000" w:themeColor="text1"/>
          <w:sz w:val="32"/>
          <w:szCs w:val="32"/>
        </w:rPr>
      </w:pPr>
      <w:r w:rsidRPr="00CE717E">
        <w:rPr>
          <w:rFonts w:asciiTheme="majorHAnsi" w:eastAsiaTheme="majorEastAsia" w:hAnsiTheme="majorHAnsi" w:cstheme="majorBidi"/>
          <w:b/>
          <w:color w:val="000000" w:themeColor="text1"/>
          <w:sz w:val="32"/>
          <w:szCs w:val="32"/>
        </w:rPr>
        <w:t>Introducción</w:t>
      </w:r>
      <w:r w:rsidR="00B516FB" w:rsidRPr="00CE717E">
        <w:rPr>
          <w:rFonts w:asciiTheme="majorHAnsi" w:eastAsiaTheme="majorEastAsia" w:hAnsiTheme="majorHAnsi" w:cstheme="majorBidi"/>
          <w:b/>
          <w:color w:val="000000" w:themeColor="text1"/>
          <w:sz w:val="32"/>
          <w:szCs w:val="32"/>
        </w:rPr>
        <w:t xml:space="preserve"> </w:t>
      </w:r>
    </w:p>
    <w:p w14:paraId="73748EFC" w14:textId="77777777" w:rsidR="004B1110" w:rsidRPr="008623D7" w:rsidRDefault="004B1110" w:rsidP="008623D7">
      <w:pPr>
        <w:keepNext/>
        <w:keepLines/>
        <w:spacing w:before="40" w:after="0"/>
        <w:jc w:val="center"/>
        <w:outlineLvl w:val="1"/>
        <w:rPr>
          <w:rFonts w:asciiTheme="majorHAnsi" w:eastAsiaTheme="majorEastAsia" w:hAnsiTheme="majorHAnsi" w:cstheme="majorBidi"/>
          <w:color w:val="000000" w:themeColor="text1"/>
          <w:sz w:val="32"/>
          <w:szCs w:val="26"/>
        </w:rPr>
      </w:pPr>
    </w:p>
    <w:p w14:paraId="599E431F" w14:textId="2EB6D8FA" w:rsidR="005376DE" w:rsidRDefault="005376DE" w:rsidP="005376DE">
      <w:pPr>
        <w:jc w:val="both"/>
      </w:pPr>
      <w:r>
        <w:t xml:space="preserve">El proceso de implementación </w:t>
      </w:r>
      <w:r w:rsidR="00DB72AA">
        <w:t xml:space="preserve">en </w:t>
      </w:r>
      <w:r>
        <w:t>Chile de la</w:t>
      </w:r>
      <w:r w:rsidR="004B3735">
        <w:t xml:space="preserve"> </w:t>
      </w:r>
      <w:r>
        <w:t xml:space="preserve">tecnología de servicios móviles de quinta generación (5G), tiene su origen en la agenda pro competencia impulsada por el Gobierno, a través de la Subsecretaría de Telecomunicaciones, cuyo objeto consiste en disponibilizar para la ciudadanía una red móvil de alta capacidad mediante un proceso basado en la competencia, la libertad de elección y la prestación de un servicio de calidad y plena accesibilidad. </w:t>
      </w:r>
    </w:p>
    <w:p w14:paraId="2781D38E" w14:textId="2C4DEE6D" w:rsidR="008623D7" w:rsidRDefault="005376DE" w:rsidP="005376DE">
      <w:pPr>
        <w:jc w:val="both"/>
      </w:pPr>
      <w:r w:rsidRPr="005376DE">
        <w:t xml:space="preserve">A nivel mundial se reconoce a la </w:t>
      </w:r>
      <w:r w:rsidR="00A304CE">
        <w:t>quinta</w:t>
      </w:r>
      <w:r w:rsidRPr="005376DE">
        <w:t xml:space="preserve"> </w:t>
      </w:r>
      <w:r w:rsidR="00A304CE">
        <w:t>g</w:t>
      </w:r>
      <w:r w:rsidRPr="005376DE">
        <w:t xml:space="preserve">eneración de </w:t>
      </w:r>
      <w:r w:rsidR="00A304CE">
        <w:t>servicios móviles</w:t>
      </w:r>
      <w:r w:rsidRPr="005376DE">
        <w:t xml:space="preserve">, conocida como 5G o IMT-2020, en </w:t>
      </w:r>
      <w:r w:rsidR="00906E60">
        <w:t>nomenclatura</w:t>
      </w:r>
      <w:r w:rsidRPr="005376DE">
        <w:t xml:space="preserve"> </w:t>
      </w:r>
      <w:r w:rsidR="00906E60">
        <w:t xml:space="preserve">de la </w:t>
      </w:r>
      <w:r w:rsidRPr="005376DE">
        <w:t>Unión Internacional de Telecomunicaciones</w:t>
      </w:r>
      <w:r w:rsidR="00906E60">
        <w:t xml:space="preserve"> (</w:t>
      </w:r>
      <w:r w:rsidR="00906E60" w:rsidRPr="005376DE">
        <w:t>UIT</w:t>
      </w:r>
      <w:r w:rsidRPr="005376DE">
        <w:t xml:space="preserve">), como pilar fundamental </w:t>
      </w:r>
      <w:r w:rsidR="00906E60">
        <w:t>para</w:t>
      </w:r>
      <w:r w:rsidRPr="005376DE">
        <w:t xml:space="preserve"> la industria inteligente, masificación de IoT</w:t>
      </w:r>
      <w:r w:rsidR="00906E60">
        <w:t xml:space="preserve"> (Internet de las Cosas)</w:t>
      </w:r>
      <w:r w:rsidRPr="005376DE">
        <w:t xml:space="preserve"> y servicios de banda ancha fija y móvil. </w:t>
      </w:r>
    </w:p>
    <w:p w14:paraId="7853BE7A" w14:textId="44C09254" w:rsidR="009A1EA0" w:rsidRDefault="005376DE" w:rsidP="005376DE">
      <w:pPr>
        <w:jc w:val="both"/>
      </w:pPr>
      <w:r w:rsidRPr="005376DE">
        <w:t xml:space="preserve">Teniendo presente esta consigna, la Subsecretaría de Telecomunicaciones ha </w:t>
      </w:r>
      <w:r w:rsidR="0001278D">
        <w:t>decidido concursar</w:t>
      </w:r>
      <w:r w:rsidRPr="005376DE">
        <w:t xml:space="preserve"> las bandas </w:t>
      </w:r>
      <w:r w:rsidR="008623D7">
        <w:t>de espectro radioeléctrico</w:t>
      </w:r>
      <w:r w:rsidR="00A04602">
        <w:t xml:space="preserve"> 700 MHz; AWS; 3,</w:t>
      </w:r>
      <w:r w:rsidR="008D6D47">
        <w:t xml:space="preserve">5 </w:t>
      </w:r>
      <w:r w:rsidR="00747846">
        <w:t>GHz</w:t>
      </w:r>
      <w:r w:rsidR="00A04602">
        <w:t>;</w:t>
      </w:r>
      <w:r w:rsidR="00747846">
        <w:t xml:space="preserve"> y</w:t>
      </w:r>
      <w:r w:rsidR="00A304CE">
        <w:t>,</w:t>
      </w:r>
      <w:r w:rsidR="00747846">
        <w:t xml:space="preserve"> 28 GHz</w:t>
      </w:r>
      <w:r w:rsidR="00C14D64">
        <w:t>,</w:t>
      </w:r>
      <w:r w:rsidRPr="005376DE">
        <w:t xml:space="preserve"> </w:t>
      </w:r>
      <w:r w:rsidR="008623D7">
        <w:t xml:space="preserve">para iniciar </w:t>
      </w:r>
      <w:r w:rsidR="0001278D">
        <w:t>el</w:t>
      </w:r>
      <w:r w:rsidR="008623D7">
        <w:t xml:space="preserve"> proceso </w:t>
      </w:r>
      <w:r w:rsidR="0001278D">
        <w:t>de introducción de</w:t>
      </w:r>
      <w:r w:rsidRPr="005376DE">
        <w:t xml:space="preserve"> </w:t>
      </w:r>
      <w:r w:rsidR="00C14D64">
        <w:t>la</w:t>
      </w:r>
      <w:r w:rsidRPr="005376DE">
        <w:t xml:space="preserve"> </w:t>
      </w:r>
      <w:r w:rsidR="008623D7">
        <w:t xml:space="preserve">tecnología </w:t>
      </w:r>
      <w:r w:rsidRPr="005376DE">
        <w:t>5G en nuestro país</w:t>
      </w:r>
      <w:r w:rsidR="008623D7">
        <w:t xml:space="preserve">, </w:t>
      </w:r>
      <w:r w:rsidR="00C14D64">
        <w:t xml:space="preserve">de modo de </w:t>
      </w:r>
      <w:r w:rsidRPr="005376DE">
        <w:t>enfrentar los nuevos desafíos de la industria</w:t>
      </w:r>
      <w:r w:rsidR="00C14D64">
        <w:t xml:space="preserve"> y profundizar </w:t>
      </w:r>
      <w:r w:rsidRPr="005376DE">
        <w:t>el mercado de acceso a Internet.</w:t>
      </w:r>
      <w:r w:rsidR="00047F54">
        <w:t xml:space="preserve"> </w:t>
      </w:r>
    </w:p>
    <w:p w14:paraId="0B08E3D7" w14:textId="2ABA8C57" w:rsidR="00047F54" w:rsidRDefault="00972384" w:rsidP="005376DE">
      <w:pPr>
        <w:jc w:val="both"/>
      </w:pPr>
      <w:r w:rsidRPr="00972384">
        <w:t>En tal orden de consideraciones, las bandas de espectro radioeléctrico a concursar en este proceso ser</w:t>
      </w:r>
      <w:r>
        <w:t>án -</w:t>
      </w:r>
      <w:r w:rsidR="00A304CE">
        <w:t>a la fecha</w:t>
      </w:r>
      <w:r w:rsidR="00A304CE">
        <w:rPr>
          <w:rStyle w:val="Refdenotaalpie"/>
        </w:rPr>
        <w:footnoteReference w:id="1"/>
      </w:r>
      <w:r>
        <w:t>- las siguientes:</w:t>
      </w:r>
    </w:p>
    <w:p w14:paraId="7E0385FB" w14:textId="621C9079" w:rsidR="009A1EA0" w:rsidRPr="00B6527B" w:rsidRDefault="00B6527B" w:rsidP="005376DE">
      <w:pPr>
        <w:jc w:val="both"/>
        <w:rPr>
          <w:i/>
        </w:rPr>
      </w:pPr>
      <w:r w:rsidRPr="00B6527B">
        <w:rPr>
          <w:i/>
          <w:u w:val="single"/>
        </w:rPr>
        <w:t>Tabla 1</w:t>
      </w:r>
      <w:r w:rsidRPr="00B6527B">
        <w:rPr>
          <w:i/>
        </w:rPr>
        <w:t>:</w:t>
      </w:r>
    </w:p>
    <w:p w14:paraId="1D8B374A" w14:textId="77777777" w:rsidR="00972384" w:rsidRDefault="00972384" w:rsidP="005310CA">
      <w:pPr>
        <w:spacing w:after="0"/>
        <w:jc w:val="both"/>
      </w:pPr>
    </w:p>
    <w:tbl>
      <w:tblPr>
        <w:tblStyle w:val="Tablaconcuadrcula"/>
        <w:tblW w:w="0" w:type="auto"/>
        <w:tblInd w:w="865" w:type="dxa"/>
        <w:tblLook w:val="04A0" w:firstRow="1" w:lastRow="0" w:firstColumn="1" w:lastColumn="0" w:noHBand="0" w:noVBand="1"/>
      </w:tblPr>
      <w:tblGrid>
        <w:gridCol w:w="1558"/>
        <w:gridCol w:w="1514"/>
        <w:gridCol w:w="2031"/>
        <w:gridCol w:w="2031"/>
      </w:tblGrid>
      <w:tr w:rsidR="003F11DC" w:rsidRPr="008640A1" w14:paraId="189C69BA" w14:textId="77777777" w:rsidTr="00593908">
        <w:tc>
          <w:tcPr>
            <w:tcW w:w="1558" w:type="dxa"/>
          </w:tcPr>
          <w:p w14:paraId="054672A8" w14:textId="77777777" w:rsidR="003F11DC" w:rsidRPr="008640A1" w:rsidRDefault="003F11DC" w:rsidP="00593908">
            <w:pPr>
              <w:jc w:val="both"/>
              <w:rPr>
                <w:b/>
              </w:rPr>
            </w:pPr>
            <w:r w:rsidRPr="008640A1">
              <w:rPr>
                <w:b/>
              </w:rPr>
              <w:t xml:space="preserve">Denominación </w:t>
            </w:r>
          </w:p>
        </w:tc>
        <w:tc>
          <w:tcPr>
            <w:tcW w:w="1514" w:type="dxa"/>
          </w:tcPr>
          <w:p w14:paraId="7AA9482E" w14:textId="77777777" w:rsidR="003F11DC" w:rsidRPr="008640A1" w:rsidRDefault="003F11DC" w:rsidP="00593908">
            <w:pPr>
              <w:jc w:val="both"/>
              <w:rPr>
                <w:b/>
              </w:rPr>
            </w:pPr>
            <w:r w:rsidRPr="008640A1">
              <w:rPr>
                <w:b/>
              </w:rPr>
              <w:t>Banda</w:t>
            </w:r>
          </w:p>
        </w:tc>
        <w:tc>
          <w:tcPr>
            <w:tcW w:w="2031" w:type="dxa"/>
          </w:tcPr>
          <w:p w14:paraId="4B4312E8" w14:textId="77777777" w:rsidR="003F11DC" w:rsidRPr="008640A1" w:rsidRDefault="003F11DC" w:rsidP="00593908">
            <w:pPr>
              <w:jc w:val="both"/>
              <w:rPr>
                <w:b/>
              </w:rPr>
            </w:pPr>
            <w:r w:rsidRPr="008640A1">
              <w:rPr>
                <w:b/>
              </w:rPr>
              <w:t xml:space="preserve">Espectro disponible </w:t>
            </w:r>
          </w:p>
        </w:tc>
        <w:tc>
          <w:tcPr>
            <w:tcW w:w="2031" w:type="dxa"/>
          </w:tcPr>
          <w:p w14:paraId="67393468" w14:textId="004C33BA" w:rsidR="003F11DC" w:rsidRPr="008640A1" w:rsidRDefault="003F11DC" w:rsidP="0099473A">
            <w:pPr>
              <w:jc w:val="both"/>
              <w:rPr>
                <w:b/>
              </w:rPr>
            </w:pPr>
            <w:r>
              <w:rPr>
                <w:b/>
              </w:rPr>
              <w:t>Exigencia mínima de velocidad</w:t>
            </w:r>
            <w:r w:rsidR="0099473A">
              <w:rPr>
                <w:b/>
              </w:rPr>
              <w:t xml:space="preserve"> (*)</w:t>
            </w:r>
          </w:p>
        </w:tc>
      </w:tr>
      <w:tr w:rsidR="003F11DC" w:rsidRPr="008640A1" w14:paraId="16673C9B" w14:textId="77777777" w:rsidTr="00593908">
        <w:tc>
          <w:tcPr>
            <w:tcW w:w="1558" w:type="dxa"/>
          </w:tcPr>
          <w:p w14:paraId="4390C648" w14:textId="77777777" w:rsidR="003F11DC" w:rsidRPr="008640A1" w:rsidRDefault="003F11DC" w:rsidP="00593908">
            <w:pPr>
              <w:jc w:val="both"/>
            </w:pPr>
            <w:r w:rsidRPr="008640A1">
              <w:t>Baja</w:t>
            </w:r>
          </w:p>
        </w:tc>
        <w:tc>
          <w:tcPr>
            <w:tcW w:w="1514" w:type="dxa"/>
          </w:tcPr>
          <w:p w14:paraId="24139D76" w14:textId="77777777" w:rsidR="003F11DC" w:rsidRPr="008640A1" w:rsidRDefault="003F11DC" w:rsidP="00593908">
            <w:pPr>
              <w:jc w:val="both"/>
            </w:pPr>
            <w:r w:rsidRPr="008640A1">
              <w:t>700 MHz</w:t>
            </w:r>
          </w:p>
        </w:tc>
        <w:tc>
          <w:tcPr>
            <w:tcW w:w="2031" w:type="dxa"/>
          </w:tcPr>
          <w:p w14:paraId="1F8C8186" w14:textId="77777777" w:rsidR="003F11DC" w:rsidRPr="008640A1" w:rsidRDefault="003F11DC" w:rsidP="00593908">
            <w:pPr>
              <w:jc w:val="both"/>
            </w:pPr>
            <w:r w:rsidRPr="008640A1">
              <w:t>20 MHz</w:t>
            </w:r>
          </w:p>
        </w:tc>
        <w:tc>
          <w:tcPr>
            <w:tcW w:w="2031" w:type="dxa"/>
          </w:tcPr>
          <w:p w14:paraId="6C51BA5C" w14:textId="77777777" w:rsidR="003F11DC" w:rsidRPr="008640A1" w:rsidRDefault="003F11DC" w:rsidP="00593908">
            <w:pPr>
              <w:jc w:val="both"/>
            </w:pPr>
            <w:r w:rsidRPr="002B5375">
              <w:t>8 Mbps de bajada y 2 Mbps de subida</w:t>
            </w:r>
          </w:p>
        </w:tc>
      </w:tr>
      <w:tr w:rsidR="003F11DC" w:rsidRPr="008640A1" w14:paraId="5A55EC3B" w14:textId="77777777" w:rsidTr="00593908">
        <w:tc>
          <w:tcPr>
            <w:tcW w:w="1558" w:type="dxa"/>
            <w:vAlign w:val="center"/>
          </w:tcPr>
          <w:p w14:paraId="118CD06A" w14:textId="77777777" w:rsidR="003F11DC" w:rsidRPr="008640A1" w:rsidRDefault="003F11DC" w:rsidP="00593908">
            <w:pPr>
              <w:jc w:val="both"/>
            </w:pPr>
            <w:r w:rsidRPr="008640A1">
              <w:t>Media Baja</w:t>
            </w:r>
          </w:p>
        </w:tc>
        <w:tc>
          <w:tcPr>
            <w:tcW w:w="1514" w:type="dxa"/>
          </w:tcPr>
          <w:p w14:paraId="62243EA2" w14:textId="77777777" w:rsidR="003F11DC" w:rsidRPr="008640A1" w:rsidRDefault="003F11DC" w:rsidP="00593908">
            <w:pPr>
              <w:jc w:val="both"/>
            </w:pPr>
            <w:r w:rsidRPr="008640A1">
              <w:t xml:space="preserve">AWS </w:t>
            </w:r>
          </w:p>
        </w:tc>
        <w:tc>
          <w:tcPr>
            <w:tcW w:w="2031" w:type="dxa"/>
          </w:tcPr>
          <w:p w14:paraId="2383BBAC" w14:textId="77777777" w:rsidR="003F11DC" w:rsidRPr="008640A1" w:rsidRDefault="003F11DC" w:rsidP="00593908">
            <w:pPr>
              <w:jc w:val="both"/>
            </w:pPr>
            <w:r w:rsidRPr="008640A1">
              <w:t>30 MHz</w:t>
            </w:r>
          </w:p>
        </w:tc>
        <w:tc>
          <w:tcPr>
            <w:tcW w:w="2031" w:type="dxa"/>
          </w:tcPr>
          <w:p w14:paraId="0FC381C4" w14:textId="77777777" w:rsidR="003F11DC" w:rsidRPr="008640A1" w:rsidRDefault="003F11DC" w:rsidP="00593908">
            <w:pPr>
              <w:jc w:val="both"/>
            </w:pPr>
            <w:r>
              <w:t>12 Mbps de bajada y 3</w:t>
            </w:r>
            <w:r w:rsidRPr="002B5375">
              <w:t xml:space="preserve"> Mbps de subida</w:t>
            </w:r>
          </w:p>
        </w:tc>
      </w:tr>
      <w:tr w:rsidR="003F11DC" w:rsidRPr="008640A1" w14:paraId="00227639" w14:textId="77777777" w:rsidTr="00593908">
        <w:tc>
          <w:tcPr>
            <w:tcW w:w="1558" w:type="dxa"/>
            <w:vAlign w:val="center"/>
          </w:tcPr>
          <w:p w14:paraId="2D547DD5" w14:textId="77777777" w:rsidR="003F11DC" w:rsidRPr="008640A1" w:rsidRDefault="003F11DC" w:rsidP="00593908">
            <w:r w:rsidRPr="008640A1">
              <w:t>Media Alta</w:t>
            </w:r>
          </w:p>
        </w:tc>
        <w:tc>
          <w:tcPr>
            <w:tcW w:w="1514" w:type="dxa"/>
            <w:vAlign w:val="center"/>
          </w:tcPr>
          <w:p w14:paraId="1D6C2B86" w14:textId="77777777" w:rsidR="003F11DC" w:rsidRPr="008640A1" w:rsidRDefault="003F11DC" w:rsidP="00593908">
            <w:r w:rsidRPr="008640A1">
              <w:t>3,5 GHz</w:t>
            </w:r>
          </w:p>
        </w:tc>
        <w:tc>
          <w:tcPr>
            <w:tcW w:w="2031" w:type="dxa"/>
          </w:tcPr>
          <w:p w14:paraId="59CE70AC" w14:textId="77777777" w:rsidR="003F11DC" w:rsidRDefault="003F11DC" w:rsidP="00593908">
            <w:pPr>
              <w:jc w:val="both"/>
            </w:pPr>
          </w:p>
          <w:p w14:paraId="5FC54AC7" w14:textId="678333BF" w:rsidR="003F11DC" w:rsidRPr="008640A1" w:rsidRDefault="003F11DC" w:rsidP="00593908">
            <w:pPr>
              <w:jc w:val="both"/>
            </w:pPr>
            <w:r w:rsidRPr="008640A1">
              <w:t xml:space="preserve">50 MHz </w:t>
            </w:r>
          </w:p>
          <w:p w14:paraId="2ED29B65" w14:textId="77777777" w:rsidR="003F11DC" w:rsidRPr="008640A1" w:rsidRDefault="003F11DC" w:rsidP="00593908">
            <w:pPr>
              <w:jc w:val="both"/>
            </w:pPr>
          </w:p>
        </w:tc>
        <w:tc>
          <w:tcPr>
            <w:tcW w:w="2031" w:type="dxa"/>
          </w:tcPr>
          <w:p w14:paraId="60A04922" w14:textId="77777777" w:rsidR="003F11DC" w:rsidRPr="008640A1" w:rsidRDefault="003F11DC" w:rsidP="00593908">
            <w:pPr>
              <w:jc w:val="both"/>
            </w:pPr>
            <w:r w:rsidRPr="002B5375">
              <w:t>8 Mbps de bajada y 2 Mbps de subida</w:t>
            </w:r>
            <w:r>
              <w:t>, por cada 10 MHz</w:t>
            </w:r>
          </w:p>
        </w:tc>
      </w:tr>
      <w:tr w:rsidR="003F11DC" w:rsidRPr="008640A1" w14:paraId="48B84E97" w14:textId="77777777" w:rsidTr="00593908">
        <w:tc>
          <w:tcPr>
            <w:tcW w:w="1558" w:type="dxa"/>
          </w:tcPr>
          <w:p w14:paraId="451E0627" w14:textId="77777777" w:rsidR="003F11DC" w:rsidRPr="008640A1" w:rsidRDefault="003F11DC" w:rsidP="00593908">
            <w:pPr>
              <w:jc w:val="both"/>
            </w:pPr>
            <w:r w:rsidRPr="008640A1">
              <w:t xml:space="preserve">Alta </w:t>
            </w:r>
          </w:p>
        </w:tc>
        <w:tc>
          <w:tcPr>
            <w:tcW w:w="1514" w:type="dxa"/>
          </w:tcPr>
          <w:p w14:paraId="2BDEEEC5" w14:textId="77777777" w:rsidR="003F11DC" w:rsidRPr="008640A1" w:rsidRDefault="003F11DC" w:rsidP="00593908">
            <w:pPr>
              <w:jc w:val="both"/>
            </w:pPr>
            <w:r w:rsidRPr="008640A1">
              <w:t>28 GHz</w:t>
            </w:r>
          </w:p>
        </w:tc>
        <w:tc>
          <w:tcPr>
            <w:tcW w:w="2031" w:type="dxa"/>
          </w:tcPr>
          <w:p w14:paraId="227AD34F" w14:textId="77777777" w:rsidR="003F11DC" w:rsidRPr="008640A1" w:rsidRDefault="003F11DC" w:rsidP="00593908">
            <w:pPr>
              <w:jc w:val="both"/>
            </w:pPr>
            <w:r w:rsidRPr="008640A1">
              <w:t>850 MHz</w:t>
            </w:r>
          </w:p>
        </w:tc>
        <w:tc>
          <w:tcPr>
            <w:tcW w:w="2031" w:type="dxa"/>
          </w:tcPr>
          <w:p w14:paraId="5D094C13" w14:textId="77777777" w:rsidR="003F11DC" w:rsidRPr="008640A1" w:rsidRDefault="003F11DC" w:rsidP="00593908">
            <w:pPr>
              <w:jc w:val="both"/>
            </w:pPr>
            <w:r>
              <w:t>Por definir</w:t>
            </w:r>
          </w:p>
        </w:tc>
      </w:tr>
    </w:tbl>
    <w:p w14:paraId="57A237E0" w14:textId="672862FC" w:rsidR="003F11DC" w:rsidRPr="0099473A" w:rsidRDefault="0099473A" w:rsidP="0099473A">
      <w:pPr>
        <w:spacing w:after="0"/>
        <w:ind w:left="851"/>
        <w:jc w:val="both"/>
        <w:rPr>
          <w:sz w:val="18"/>
        </w:rPr>
      </w:pPr>
      <w:r w:rsidRPr="0099473A">
        <w:rPr>
          <w:sz w:val="18"/>
        </w:rPr>
        <w:t>(*) En cuanto par</w:t>
      </w:r>
      <w:r>
        <w:rPr>
          <w:sz w:val="18"/>
        </w:rPr>
        <w:t>ámetro</w:t>
      </w:r>
      <w:r w:rsidRPr="0099473A">
        <w:rPr>
          <w:sz w:val="18"/>
        </w:rPr>
        <w:t xml:space="preserve"> de calidad de servicio.</w:t>
      </w:r>
    </w:p>
    <w:p w14:paraId="6725EC09" w14:textId="64AC6199" w:rsidR="00972384" w:rsidRPr="005310CA" w:rsidRDefault="00972384" w:rsidP="005310CA">
      <w:pPr>
        <w:jc w:val="right"/>
        <w:rPr>
          <w:sz w:val="20"/>
        </w:rPr>
      </w:pPr>
    </w:p>
    <w:p w14:paraId="14B08FDD" w14:textId="7EE32AC7" w:rsidR="005310CA" w:rsidRDefault="009A1EA0" w:rsidP="00B6527B">
      <w:pPr>
        <w:jc w:val="both"/>
      </w:pPr>
      <w:r>
        <w:t>En cuanto a su interoperabilidad, l</w:t>
      </w:r>
      <w:r w:rsidR="00CE717E" w:rsidRPr="008640A1">
        <w:t>as bandas altas, medias altas, medias bajas</w:t>
      </w:r>
      <w:r>
        <w:t xml:space="preserve"> y bajas son complementarias entre sí, </w:t>
      </w:r>
      <w:r w:rsidR="00CE717E" w:rsidRPr="008640A1">
        <w:t xml:space="preserve">proporcionando un balance </w:t>
      </w:r>
      <w:r>
        <w:t xml:space="preserve">adecuado </w:t>
      </w:r>
      <w:r w:rsidR="00CE717E" w:rsidRPr="008640A1">
        <w:t>entre capacidad de transmisión de datos, cobertura extendida</w:t>
      </w:r>
      <w:r>
        <w:t xml:space="preserve"> y otras</w:t>
      </w:r>
      <w:r w:rsidR="00CE717E" w:rsidRPr="008640A1">
        <w:t xml:space="preserve"> propiedades. </w:t>
      </w:r>
      <w:r w:rsidR="00267C59">
        <w:t>Por lo mismo</w:t>
      </w:r>
      <w:r w:rsidR="00CE717E" w:rsidRPr="008640A1">
        <w:t xml:space="preserve">, un </w:t>
      </w:r>
      <w:r w:rsidR="00084C30">
        <w:t xml:space="preserve">nuevo operador de telecomunicaciones, podría requerir </w:t>
      </w:r>
      <w:r w:rsidR="00CE717E" w:rsidRPr="008640A1">
        <w:t xml:space="preserve">de espectro en </w:t>
      </w:r>
      <w:r w:rsidR="00084C30">
        <w:t>las distintas</w:t>
      </w:r>
      <w:r w:rsidR="00CE717E" w:rsidRPr="008640A1">
        <w:t xml:space="preserve"> bandas, </w:t>
      </w:r>
      <w:r w:rsidR="00267C59">
        <w:t>mientras que</w:t>
      </w:r>
      <w:r w:rsidR="00CE717E" w:rsidRPr="008640A1">
        <w:t xml:space="preserve"> un </w:t>
      </w:r>
      <w:r w:rsidR="00CE717E" w:rsidRPr="008640A1">
        <w:lastRenderedPageBreak/>
        <w:t xml:space="preserve">postulante </w:t>
      </w:r>
      <w:r w:rsidR="00084C30">
        <w:t xml:space="preserve">que tenga la calidad de actual operador de telecomunicaciones </w:t>
      </w:r>
      <w:r w:rsidR="00CE717E">
        <w:t xml:space="preserve">sólo </w:t>
      </w:r>
      <w:r w:rsidR="00CE717E" w:rsidRPr="008640A1">
        <w:t xml:space="preserve">le podría </w:t>
      </w:r>
      <w:r w:rsidR="00CE717E">
        <w:t>interesar postular</w:t>
      </w:r>
      <w:r w:rsidR="00084C30">
        <w:t>, eventualmente,</w:t>
      </w:r>
      <w:r w:rsidR="00CE717E">
        <w:t xml:space="preserve"> a a</w:t>
      </w:r>
      <w:r w:rsidR="00CE717E" w:rsidRPr="008640A1">
        <w:t xml:space="preserve">quellas bandas </w:t>
      </w:r>
      <w:r w:rsidR="00084C30">
        <w:t xml:space="preserve">de las </w:t>
      </w:r>
      <w:r w:rsidR="00CE717E" w:rsidRPr="008640A1">
        <w:t xml:space="preserve">que no dispone. </w:t>
      </w:r>
    </w:p>
    <w:p w14:paraId="027A0F67" w14:textId="77777777" w:rsidR="00DB1554" w:rsidRDefault="00DB1554" w:rsidP="00B6527B">
      <w:pPr>
        <w:jc w:val="both"/>
      </w:pPr>
    </w:p>
    <w:p w14:paraId="41696530" w14:textId="65AABAF3" w:rsidR="00CE717E" w:rsidRDefault="00CE717E" w:rsidP="00CE717E">
      <w:pPr>
        <w:pStyle w:val="Prrafodelista"/>
        <w:numPr>
          <w:ilvl w:val="0"/>
          <w:numId w:val="8"/>
        </w:numPr>
        <w:ind w:hanging="578"/>
        <w:jc w:val="both"/>
        <w:rPr>
          <w:rFonts w:asciiTheme="majorHAnsi" w:hAnsiTheme="majorHAnsi" w:cstheme="majorHAnsi"/>
          <w:b/>
          <w:sz w:val="32"/>
          <w:szCs w:val="32"/>
        </w:rPr>
      </w:pPr>
      <w:r w:rsidRPr="00CE717E">
        <w:rPr>
          <w:rFonts w:asciiTheme="majorHAnsi" w:hAnsiTheme="majorHAnsi" w:cstheme="majorHAnsi"/>
          <w:b/>
          <w:sz w:val="32"/>
          <w:szCs w:val="32"/>
        </w:rPr>
        <w:t xml:space="preserve">Características </w:t>
      </w:r>
      <w:r w:rsidR="00BF3582">
        <w:rPr>
          <w:rFonts w:asciiTheme="majorHAnsi" w:hAnsiTheme="majorHAnsi" w:cstheme="majorHAnsi"/>
          <w:b/>
          <w:sz w:val="32"/>
          <w:szCs w:val="32"/>
        </w:rPr>
        <w:t xml:space="preserve">generales </w:t>
      </w:r>
      <w:r w:rsidRPr="00CE717E">
        <w:rPr>
          <w:rFonts w:asciiTheme="majorHAnsi" w:hAnsiTheme="majorHAnsi" w:cstheme="majorHAnsi"/>
          <w:b/>
          <w:sz w:val="32"/>
          <w:szCs w:val="32"/>
        </w:rPr>
        <w:t>del proceso</w:t>
      </w:r>
    </w:p>
    <w:p w14:paraId="43718FEA" w14:textId="77777777" w:rsidR="00CE717E" w:rsidRPr="00CE717E" w:rsidRDefault="00CE717E" w:rsidP="00CE717E">
      <w:pPr>
        <w:pStyle w:val="Prrafodelista"/>
        <w:jc w:val="both"/>
        <w:rPr>
          <w:rFonts w:asciiTheme="majorHAnsi" w:hAnsiTheme="majorHAnsi" w:cstheme="majorHAnsi"/>
          <w:b/>
          <w:sz w:val="32"/>
          <w:szCs w:val="32"/>
        </w:rPr>
      </w:pPr>
    </w:p>
    <w:p w14:paraId="4FE2C901" w14:textId="31E8C549" w:rsidR="00747846" w:rsidRDefault="00877C47" w:rsidP="00CE717E">
      <w:pPr>
        <w:ind w:left="142"/>
        <w:jc w:val="both"/>
      </w:pPr>
      <w:r>
        <w:t>El</w:t>
      </w:r>
      <w:r w:rsidR="00747846">
        <w:t xml:space="preserve"> proceso de </w:t>
      </w:r>
      <w:r w:rsidRPr="00877C47">
        <w:t xml:space="preserve">adjudicación </w:t>
      </w:r>
      <w:r w:rsidR="00747846">
        <w:t xml:space="preserve">de </w:t>
      </w:r>
      <w:r w:rsidR="00084C30">
        <w:t xml:space="preserve">las </w:t>
      </w:r>
      <w:r w:rsidR="00747846">
        <w:t>bandas</w:t>
      </w:r>
      <w:r w:rsidR="00120597">
        <w:t xml:space="preserve"> de frecuencias</w:t>
      </w:r>
      <w:r w:rsidR="00084C30" w:rsidRPr="00084C30">
        <w:t xml:space="preserve"> </w:t>
      </w:r>
      <w:r w:rsidR="0001278D">
        <w:t xml:space="preserve">señaladas, </w:t>
      </w:r>
      <w:r w:rsidR="00084C30">
        <w:t xml:space="preserve">para desplegar la tecnología </w:t>
      </w:r>
      <w:r w:rsidR="00084C30" w:rsidRPr="00084C30">
        <w:t>5G en nuestro país</w:t>
      </w:r>
      <w:r w:rsidR="00120597">
        <w:t>, observará las siguientes características:</w:t>
      </w:r>
    </w:p>
    <w:p w14:paraId="0463406A" w14:textId="2267454E" w:rsidR="005E5340" w:rsidRDefault="005E5340" w:rsidP="00A53055">
      <w:pPr>
        <w:pStyle w:val="Prrafodelista"/>
        <w:numPr>
          <w:ilvl w:val="0"/>
          <w:numId w:val="5"/>
        </w:numPr>
        <w:spacing w:after="360"/>
        <w:jc w:val="both"/>
      </w:pPr>
      <w:r>
        <w:t>El proceso</w:t>
      </w:r>
      <w:r w:rsidR="007D7BE4">
        <w:t xml:space="preserve"> </w:t>
      </w:r>
      <w:r>
        <w:t xml:space="preserve">considerara una o más concesiones </w:t>
      </w:r>
      <w:r w:rsidR="007D7BE4">
        <w:t>a nivel nacional.</w:t>
      </w:r>
    </w:p>
    <w:p w14:paraId="711DCCCA" w14:textId="77777777" w:rsidR="00CE7636" w:rsidRDefault="00CE7636" w:rsidP="00CE7636">
      <w:pPr>
        <w:pStyle w:val="Prrafodelista"/>
        <w:spacing w:after="360"/>
        <w:jc w:val="both"/>
      </w:pPr>
    </w:p>
    <w:p w14:paraId="4A461337" w14:textId="5433C478" w:rsidR="00E05C3C" w:rsidRDefault="00120597" w:rsidP="008D6D47">
      <w:pPr>
        <w:pStyle w:val="Prrafodelista"/>
        <w:numPr>
          <w:ilvl w:val="0"/>
          <w:numId w:val="5"/>
        </w:numPr>
        <w:spacing w:after="360"/>
        <w:jc w:val="both"/>
      </w:pPr>
      <w:r>
        <w:t>El concurso se realizará</w:t>
      </w:r>
      <w:r w:rsidR="00084C30">
        <w:t xml:space="preserve"> una vez </w:t>
      </w:r>
      <w:r w:rsidR="003F11DC">
        <w:t xml:space="preserve">que </w:t>
      </w:r>
      <w:r w:rsidR="00D83F3B">
        <w:t xml:space="preserve">la resolución que ponga término al procedimiento no contencioso caratulado “Consulta de Subtel sobre el límite máximo de espectro radioeléctrico”, Rol NC N° 448-2018, que se sigue ante el </w:t>
      </w:r>
      <w:r w:rsidR="00267C59">
        <w:t xml:space="preserve">H. </w:t>
      </w:r>
      <w:r w:rsidR="006B510F">
        <w:t>T</w:t>
      </w:r>
      <w:r w:rsidR="00E05C3C">
        <w:t>ribunal de Defensa de la Libre Competencia</w:t>
      </w:r>
      <w:r w:rsidR="00D83F3B">
        <w:t>, se encuentre firme y ejecutoriada</w:t>
      </w:r>
      <w:r w:rsidR="00E05C3C">
        <w:t xml:space="preserve">. </w:t>
      </w:r>
    </w:p>
    <w:p w14:paraId="7D5BF560" w14:textId="77777777" w:rsidR="006B510F" w:rsidRDefault="006B510F" w:rsidP="006B510F">
      <w:pPr>
        <w:pStyle w:val="Prrafodelista"/>
        <w:spacing w:after="360"/>
        <w:ind w:left="567" w:hanging="572"/>
        <w:jc w:val="both"/>
      </w:pPr>
    </w:p>
    <w:p w14:paraId="73B294D8" w14:textId="5E6A73B6" w:rsidR="00890B42" w:rsidRDefault="00347B73" w:rsidP="00890B42">
      <w:pPr>
        <w:pStyle w:val="Prrafodelista"/>
        <w:numPr>
          <w:ilvl w:val="0"/>
          <w:numId w:val="5"/>
        </w:numPr>
        <w:spacing w:after="0"/>
        <w:ind w:left="714" w:hanging="357"/>
        <w:jc w:val="both"/>
      </w:pPr>
      <w:r>
        <w:t xml:space="preserve">Se reconoce </w:t>
      </w:r>
      <w:r w:rsidR="0048639A">
        <w:t xml:space="preserve">que </w:t>
      </w:r>
      <w:r>
        <w:t>los requerimientos de eficiencia en el despliegue de 5G</w:t>
      </w:r>
      <w:r w:rsidR="00084C30">
        <w:t>,</w:t>
      </w:r>
      <w:r>
        <w:t xml:space="preserve"> involucra</w:t>
      </w:r>
      <w:r w:rsidR="00084C30">
        <w:t>n</w:t>
      </w:r>
      <w:r>
        <w:t xml:space="preserve"> </w:t>
      </w:r>
      <w:r w:rsidR="004322BA">
        <w:t>la necesidad de abrir un portafolio de bandas de</w:t>
      </w:r>
      <w:r>
        <w:t xml:space="preserve"> espectro radioeléctrico</w:t>
      </w:r>
      <w:r w:rsidR="0048639A">
        <w:t>,</w:t>
      </w:r>
      <w:r>
        <w:t xml:space="preserve"> </w:t>
      </w:r>
      <w:r w:rsidR="004322BA">
        <w:t>con</w:t>
      </w:r>
      <w:r w:rsidR="00972384">
        <w:t xml:space="preserve"> diferentes potencialidades</w:t>
      </w:r>
      <w:r>
        <w:t xml:space="preserve"> de propagación de señal.</w:t>
      </w:r>
      <w:r w:rsidR="00120597">
        <w:t xml:space="preserve"> </w:t>
      </w:r>
      <w:r w:rsidR="00D31F00">
        <w:t>E</w:t>
      </w:r>
      <w:r w:rsidR="004322BA">
        <w:t>n tal sentido, el concurso seguirá</w:t>
      </w:r>
      <w:r w:rsidR="00D31F00">
        <w:t xml:space="preserve"> un modelo</w:t>
      </w:r>
      <w:r w:rsidR="004322BA">
        <w:t xml:space="preserve"> de tipo</w:t>
      </w:r>
      <w:r w:rsidR="00D31F00">
        <w:t xml:space="preserve"> </w:t>
      </w:r>
      <w:r w:rsidR="00D31F00" w:rsidRPr="004322BA">
        <w:rPr>
          <w:i/>
        </w:rPr>
        <w:t>combinatorial</w:t>
      </w:r>
      <w:r w:rsidR="004322BA">
        <w:t xml:space="preserve">, </w:t>
      </w:r>
      <w:r w:rsidR="0001278D">
        <w:t>en virtud del cual</w:t>
      </w:r>
      <w:r w:rsidR="00A53055" w:rsidRPr="00A53055">
        <w:t xml:space="preserve"> </w:t>
      </w:r>
      <w:r w:rsidR="0001278D">
        <w:t>c</w:t>
      </w:r>
      <w:r w:rsidR="00A53055" w:rsidRPr="00A53055">
        <w:t>ada banda será subdividida en uno o más bloques, pudiendo las empresas</w:t>
      </w:r>
      <w:r w:rsidR="00890B42">
        <w:t xml:space="preserve"> </w:t>
      </w:r>
      <w:r w:rsidR="0001278D">
        <w:t xml:space="preserve">participar </w:t>
      </w:r>
      <w:r w:rsidR="00A53055" w:rsidRPr="00A53055">
        <w:t>por cualquier combinación</w:t>
      </w:r>
      <w:r w:rsidR="0001278D">
        <w:t xml:space="preserve"> de ellos, </w:t>
      </w:r>
      <w:r w:rsidR="00A53055" w:rsidRPr="00A53055">
        <w:t xml:space="preserve">en la medida que </w:t>
      </w:r>
      <w:r w:rsidR="0001278D">
        <w:t>sus ofertas cumplan las respectivas condiciones de admisibilidad</w:t>
      </w:r>
      <w:r w:rsidR="00890B42">
        <w:t>. Así, s</w:t>
      </w:r>
      <w:r w:rsidR="00A53055" w:rsidRPr="00A53055">
        <w:t xml:space="preserve">e buscará la mejor asignación factible, </w:t>
      </w:r>
      <w:r w:rsidR="00890B42">
        <w:t xml:space="preserve">de modo </w:t>
      </w:r>
      <w:r w:rsidR="00A53055" w:rsidRPr="00A53055">
        <w:t xml:space="preserve">tal que cada adjudicatario </w:t>
      </w:r>
      <w:r w:rsidR="00890B42">
        <w:t xml:space="preserve">pueda obtener </w:t>
      </w:r>
      <w:r w:rsidR="00A53055" w:rsidRPr="00A53055">
        <w:t>combinaciones de bloques de su interés</w:t>
      </w:r>
      <w:r w:rsidR="00890B42">
        <w:t>.</w:t>
      </w:r>
    </w:p>
    <w:p w14:paraId="7A0C0D07" w14:textId="359AD2A8" w:rsidR="00890B42" w:rsidRDefault="0099473A" w:rsidP="0099473A">
      <w:pPr>
        <w:spacing w:after="0"/>
        <w:ind w:left="708"/>
        <w:jc w:val="both"/>
      </w:pPr>
      <w:r>
        <w:t>Asimismo la metodología de ponderación de puntajes de las solicitudes tendrá en cuenta el impacto de los despliegues propuestos por los postulantes en sectores productivos del país mediante la asignación de puntaje en zonas industriales previamente definidas denominadas “polígonos industriales”.</w:t>
      </w:r>
    </w:p>
    <w:p w14:paraId="0F9041D0" w14:textId="77777777" w:rsidR="0099473A" w:rsidRDefault="0099473A" w:rsidP="0099473A">
      <w:pPr>
        <w:spacing w:after="0"/>
        <w:ind w:left="708"/>
        <w:jc w:val="both"/>
      </w:pPr>
    </w:p>
    <w:p w14:paraId="6793CC27" w14:textId="09F52544" w:rsidR="00AD6D20" w:rsidRDefault="003A1CB5" w:rsidP="00890B42">
      <w:pPr>
        <w:pStyle w:val="Prrafodelista"/>
        <w:numPr>
          <w:ilvl w:val="0"/>
          <w:numId w:val="5"/>
        </w:numPr>
        <w:spacing w:after="0"/>
        <w:ind w:left="714" w:hanging="357"/>
        <w:jc w:val="both"/>
      </w:pPr>
      <w:r>
        <w:t xml:space="preserve">Al momento de presentar sus ofertas, </w:t>
      </w:r>
      <w:r w:rsidR="0099473A">
        <w:t xml:space="preserve">los postulantes deberán adjuntar el(los) respectivo(s) proyecto(s) técnico(s), pudiendo además </w:t>
      </w:r>
      <w:r>
        <w:t>l</w:t>
      </w:r>
      <w:r w:rsidR="004322BA">
        <w:t xml:space="preserve">os concursantes optar a una </w:t>
      </w:r>
      <w:r w:rsidR="009413AC">
        <w:t>o más concesiones</w:t>
      </w:r>
      <w:r w:rsidR="005310CA">
        <w:t>,</w:t>
      </w:r>
      <w:r w:rsidR="00972384">
        <w:t xml:space="preserve"> </w:t>
      </w:r>
      <w:r w:rsidR="0099473A">
        <w:t>las que podrán</w:t>
      </w:r>
      <w:r w:rsidR="00972384">
        <w:t xml:space="preserve"> ser</w:t>
      </w:r>
      <w:r w:rsidR="004322BA">
        <w:t xml:space="preserve"> de</w:t>
      </w:r>
      <w:r w:rsidR="00AD6D20">
        <w:t xml:space="preserve"> servicio</w:t>
      </w:r>
      <w:r w:rsidR="00D83F3B">
        <w:t>s</w:t>
      </w:r>
      <w:r w:rsidR="00AD6D20">
        <w:t xml:space="preserve"> público</w:t>
      </w:r>
      <w:r w:rsidR="00D83F3B">
        <w:t>s</w:t>
      </w:r>
      <w:r w:rsidR="00AD6D20">
        <w:t xml:space="preserve"> de</w:t>
      </w:r>
      <w:r w:rsidR="005310CA">
        <w:t xml:space="preserve"> transmisión de datos</w:t>
      </w:r>
      <w:r w:rsidR="00AD6D20">
        <w:t xml:space="preserve"> o intermedio de telecomunicaciones. Vale decir, </w:t>
      </w:r>
      <w:r w:rsidR="009413AC">
        <w:t>podrá</w:t>
      </w:r>
      <w:r w:rsidR="00047F54">
        <w:t>n</w:t>
      </w:r>
      <w:r w:rsidR="009413AC">
        <w:t xml:space="preserve"> tener la calidad de concesionario</w:t>
      </w:r>
      <w:r w:rsidR="00047F54">
        <w:t>s, tanto</w:t>
      </w:r>
      <w:r w:rsidR="009413AC">
        <w:t xml:space="preserve"> </w:t>
      </w:r>
      <w:r w:rsidR="00AD6D20">
        <w:t>operador</w:t>
      </w:r>
      <w:r w:rsidR="00047F54">
        <w:t>es</w:t>
      </w:r>
      <w:r w:rsidR="00AD6D20">
        <w:t xml:space="preserve"> de telecomunicaciones </w:t>
      </w:r>
      <w:r w:rsidR="009413AC">
        <w:t>minorista</w:t>
      </w:r>
      <w:r w:rsidR="00047F54">
        <w:t>s</w:t>
      </w:r>
      <w:r w:rsidR="009413AC">
        <w:t xml:space="preserve"> </w:t>
      </w:r>
      <w:r w:rsidR="00267C59">
        <w:t>com</w:t>
      </w:r>
      <w:r w:rsidR="009413AC">
        <w:t>o mayorista</w:t>
      </w:r>
      <w:r w:rsidR="00047F54">
        <w:t>s</w:t>
      </w:r>
      <w:r w:rsidR="00AD6D20">
        <w:t>.</w:t>
      </w:r>
    </w:p>
    <w:p w14:paraId="45E5B9FA" w14:textId="77777777" w:rsidR="00634AF1" w:rsidRDefault="00634AF1" w:rsidP="00D607CA">
      <w:pPr>
        <w:pStyle w:val="Prrafodelista"/>
        <w:jc w:val="both"/>
      </w:pPr>
    </w:p>
    <w:p w14:paraId="7FA48046" w14:textId="5E4E1ADD" w:rsidR="00890B42" w:rsidRDefault="00620322" w:rsidP="00D607CA">
      <w:pPr>
        <w:pStyle w:val="Prrafodelista"/>
        <w:jc w:val="both"/>
      </w:pPr>
      <w:r>
        <w:t>El proyecto técnico, elaborado al tenor de las bases del concurso respectivo y la normativa pertinente, debe individualizar</w:t>
      </w:r>
      <w:r w:rsidR="00D607CA">
        <w:t xml:space="preserve"> </w:t>
      </w:r>
      <w:r>
        <w:t xml:space="preserve">características técnicas </w:t>
      </w:r>
      <w:r w:rsidR="00D607CA">
        <w:t xml:space="preserve">como </w:t>
      </w:r>
      <w:r>
        <w:t xml:space="preserve">el despliegue de la infraestructura relacionada, </w:t>
      </w:r>
      <w:r w:rsidR="00D607CA">
        <w:t xml:space="preserve">las </w:t>
      </w:r>
      <w:r>
        <w:t xml:space="preserve">coberturas esperadas, </w:t>
      </w:r>
      <w:r w:rsidR="00D607CA">
        <w:t xml:space="preserve">los </w:t>
      </w:r>
      <w:r>
        <w:t xml:space="preserve">plazos de implementación en etapas, </w:t>
      </w:r>
      <w:r w:rsidR="00D607CA">
        <w:t xml:space="preserve">las </w:t>
      </w:r>
      <w:r>
        <w:t>velocidades de transmisión</w:t>
      </w:r>
      <w:r w:rsidR="00D607CA">
        <w:t xml:space="preserve"> y otros parámetros técnicos y exigencias definidos en las bases del concurso.</w:t>
      </w:r>
    </w:p>
    <w:p w14:paraId="31254677" w14:textId="77777777" w:rsidR="00D607CA" w:rsidRDefault="00D607CA" w:rsidP="00D607CA">
      <w:pPr>
        <w:pStyle w:val="Prrafodelista"/>
        <w:spacing w:after="0"/>
        <w:ind w:left="714"/>
        <w:jc w:val="both"/>
      </w:pPr>
    </w:p>
    <w:p w14:paraId="0330BBE2" w14:textId="1A89AA84" w:rsidR="00890B42" w:rsidRPr="003B5D5F" w:rsidRDefault="00890B42" w:rsidP="00890B42">
      <w:pPr>
        <w:pStyle w:val="Prrafodelista"/>
        <w:numPr>
          <w:ilvl w:val="0"/>
          <w:numId w:val="5"/>
        </w:numPr>
        <w:spacing w:after="0"/>
        <w:jc w:val="both"/>
      </w:pPr>
      <w:r w:rsidRPr="003B5D5F">
        <w:t>Se podrá p</w:t>
      </w:r>
      <w:r w:rsidR="00972384" w:rsidRPr="003B5D5F">
        <w:t xml:space="preserve">resentar al concurso cualquier </w:t>
      </w:r>
      <w:r w:rsidRPr="003B5D5F">
        <w:t>persona jurídica de derecho público o privado, constituida en Chile y con domicilio en el país, que cumpla con los requisitos técnicos establecidos en las bases. Tales personas jurídicas podrán presen</w:t>
      </w:r>
      <w:r w:rsidR="00972384" w:rsidRPr="003B5D5F">
        <w:t xml:space="preserve">tar sus ofertas individualmente </w:t>
      </w:r>
      <w:r w:rsidR="005310CA">
        <w:t>o como consorcio empresarial, t</w:t>
      </w:r>
      <w:r w:rsidR="00972384" w:rsidRPr="003B5D5F">
        <w:t xml:space="preserve">al como ocurre actualmente respecto de </w:t>
      </w:r>
      <w:r w:rsidR="00972384" w:rsidRPr="003B5D5F">
        <w:lastRenderedPageBreak/>
        <w:t>los concursos de servicio</w:t>
      </w:r>
      <w:r w:rsidR="00D83F3B">
        <w:t>s</w:t>
      </w:r>
      <w:r w:rsidR="00972384" w:rsidRPr="003B5D5F">
        <w:t xml:space="preserve"> público</w:t>
      </w:r>
      <w:r w:rsidR="00D83F3B">
        <w:t>s</w:t>
      </w:r>
      <w:r w:rsidR="00972384" w:rsidRPr="003B5D5F">
        <w:t xml:space="preserve"> cuyas concesiones fueron otorgadas al amparo del Fondo de Desarrollo de las Telecomunicaciones</w:t>
      </w:r>
      <w:r w:rsidR="003B5D5F" w:rsidRPr="003B5D5F">
        <w:rPr>
          <w:rStyle w:val="Refdenotaalpie"/>
        </w:rPr>
        <w:footnoteReference w:id="2"/>
      </w:r>
      <w:r w:rsidR="00D83F3B">
        <w:t>.</w:t>
      </w:r>
    </w:p>
    <w:p w14:paraId="2C0BD5A7" w14:textId="77777777" w:rsidR="006B510F" w:rsidRDefault="006B510F" w:rsidP="006B510F">
      <w:pPr>
        <w:pStyle w:val="Prrafodelista"/>
      </w:pPr>
    </w:p>
    <w:p w14:paraId="5D102735" w14:textId="699A6278" w:rsidR="006B510F" w:rsidRDefault="006B510F" w:rsidP="008D6D47">
      <w:pPr>
        <w:pStyle w:val="Prrafodelista"/>
        <w:numPr>
          <w:ilvl w:val="0"/>
          <w:numId w:val="5"/>
        </w:numPr>
        <w:spacing w:after="360"/>
        <w:jc w:val="both"/>
      </w:pPr>
      <w:r>
        <w:t xml:space="preserve">Se disminuyen </w:t>
      </w:r>
      <w:r w:rsidR="003A1CB5">
        <w:t>eventuales</w:t>
      </w:r>
      <w:r>
        <w:t xml:space="preserve"> barreras de entrada, </w:t>
      </w:r>
      <w:r w:rsidR="00774ADA">
        <w:t>tales como</w:t>
      </w:r>
      <w:r w:rsidR="00D83F3B">
        <w:t xml:space="preserve"> </w:t>
      </w:r>
      <w:r>
        <w:t xml:space="preserve">coberturas obligatorias </w:t>
      </w:r>
      <w:r w:rsidR="003A1CB5">
        <w:t>de</w:t>
      </w:r>
      <w:r w:rsidR="00774ADA">
        <w:t xml:space="preserve"> determinadas zonas geográficas u otras</w:t>
      </w:r>
      <w:r w:rsidR="002A106D">
        <w:t>,</w:t>
      </w:r>
      <w:r w:rsidR="003A1CB5">
        <w:t xml:space="preserve"> </w:t>
      </w:r>
      <w:r w:rsidR="002A106D">
        <w:t xml:space="preserve">que </w:t>
      </w:r>
      <w:r w:rsidR="005310CA">
        <w:t>podrían implicar</w:t>
      </w:r>
      <w:r>
        <w:t xml:space="preserve"> ventajas comparativas para aquellos operadores que ya cuentan con infraestructura desplegada a lo largo de Chile. Al respecto</w:t>
      </w:r>
      <w:r w:rsidR="005310CA">
        <w:t>,</w:t>
      </w:r>
      <w:r>
        <w:t xml:space="preserve"> se reconoce que existen instrumentos de política pública más eficientes para atender las zonas de menor interés comercial </w:t>
      </w:r>
      <w:r w:rsidR="00D83F3B">
        <w:t>para</w:t>
      </w:r>
      <w:r>
        <w:t xml:space="preserve"> los privados</w:t>
      </w:r>
      <w:r w:rsidR="005310CA">
        <w:t>,</w:t>
      </w:r>
      <w:r>
        <w:t xml:space="preserve"> tales como subsidios a zonas rurales, sectores vulnerables y regiones extremas.</w:t>
      </w:r>
    </w:p>
    <w:p w14:paraId="3C662759" w14:textId="77777777" w:rsidR="00084C30" w:rsidRDefault="00084C30" w:rsidP="00084C30">
      <w:pPr>
        <w:pStyle w:val="Prrafodelista"/>
      </w:pPr>
    </w:p>
    <w:p w14:paraId="7A65B943" w14:textId="22BDA469" w:rsidR="002A106D" w:rsidRDefault="00084C30" w:rsidP="00BF3582">
      <w:pPr>
        <w:pStyle w:val="Prrafodelista"/>
        <w:numPr>
          <w:ilvl w:val="0"/>
          <w:numId w:val="5"/>
        </w:numPr>
        <w:spacing w:after="0"/>
        <w:jc w:val="both"/>
      </w:pPr>
      <w:r>
        <w:t>En la misma línea de limitar eventuales barreras de entrada en el proceso, s</w:t>
      </w:r>
      <w:r w:rsidRPr="00084C30">
        <w:t>e exigirá una sola boleta de garantía para cautelar la correcta ejecución del proyecto técnico y la concesión, por un valor porcentual estimado como inferior al monto de inversió</w:t>
      </w:r>
      <w:r>
        <w:t>n de las empresas en este rubro.</w:t>
      </w:r>
      <w:r w:rsidRPr="00084C30">
        <w:t xml:space="preserve"> </w:t>
      </w:r>
    </w:p>
    <w:p w14:paraId="60590B09" w14:textId="77777777" w:rsidR="00BF3582" w:rsidRDefault="00BF3582" w:rsidP="00BF3582">
      <w:pPr>
        <w:spacing w:after="0"/>
        <w:jc w:val="both"/>
      </w:pPr>
    </w:p>
    <w:p w14:paraId="0A458601" w14:textId="482C7EC8" w:rsidR="00AD6D20" w:rsidRDefault="00747846" w:rsidP="00BF3582">
      <w:pPr>
        <w:pStyle w:val="Prrafodelista"/>
        <w:numPr>
          <w:ilvl w:val="0"/>
          <w:numId w:val="5"/>
        </w:numPr>
        <w:spacing w:after="0"/>
        <w:jc w:val="both"/>
      </w:pPr>
      <w:r>
        <w:t xml:space="preserve">La </w:t>
      </w:r>
      <w:r w:rsidR="006F5B30">
        <w:t xml:space="preserve">vigencia de las </w:t>
      </w:r>
      <w:r>
        <w:t xml:space="preserve">concesiones </w:t>
      </w:r>
      <w:r w:rsidR="006F5B30">
        <w:t xml:space="preserve">producto de este proceso </w:t>
      </w:r>
      <w:r w:rsidR="00B82899">
        <w:t>será de</w:t>
      </w:r>
      <w:r>
        <w:t xml:space="preserve"> 30 años</w:t>
      </w:r>
      <w:r w:rsidR="00B82899">
        <w:t>,</w:t>
      </w:r>
      <w:r w:rsidR="00E05C3C">
        <w:t xml:space="preserve"> </w:t>
      </w:r>
      <w:r w:rsidR="00B82899">
        <w:t>de acuerdo a</w:t>
      </w:r>
      <w:r w:rsidR="00E05C3C">
        <w:t xml:space="preserve"> lo establecido </w:t>
      </w:r>
      <w:r w:rsidR="00B82899">
        <w:t xml:space="preserve">en </w:t>
      </w:r>
      <w:r w:rsidR="00E05C3C">
        <w:t>la Ley General de Telecomunicaciones</w:t>
      </w:r>
      <w:r>
        <w:t>.</w:t>
      </w:r>
    </w:p>
    <w:p w14:paraId="283292EE" w14:textId="77777777" w:rsidR="000516DB" w:rsidRDefault="000516DB" w:rsidP="00E05C3C">
      <w:pPr>
        <w:pStyle w:val="Prrafodelista"/>
        <w:spacing w:after="360"/>
        <w:ind w:left="567" w:hanging="572"/>
        <w:jc w:val="both"/>
      </w:pPr>
    </w:p>
    <w:p w14:paraId="378C4F40" w14:textId="4EF4F3EE" w:rsidR="00336D09" w:rsidRDefault="00B82899" w:rsidP="008D6D47">
      <w:pPr>
        <w:pStyle w:val="Prrafodelista"/>
        <w:numPr>
          <w:ilvl w:val="0"/>
          <w:numId w:val="5"/>
        </w:numPr>
        <w:spacing w:after="360"/>
        <w:jc w:val="both"/>
      </w:pPr>
      <w:r>
        <w:t xml:space="preserve">Se establecerán </w:t>
      </w:r>
      <w:r w:rsidR="000516DB">
        <w:t>pa</w:t>
      </w:r>
      <w:r>
        <w:t>rámetros de servicio que aseguren</w:t>
      </w:r>
      <w:r w:rsidR="000516DB">
        <w:t xml:space="preserve"> que el proyecto técnico a implementar</w:t>
      </w:r>
      <w:r>
        <w:t>,</w:t>
      </w:r>
      <w:r w:rsidR="000516DB">
        <w:t xml:space="preserve"> corresponda</w:t>
      </w:r>
      <w:r>
        <w:t xml:space="preserve"> efectivamente </w:t>
      </w:r>
      <w:r w:rsidR="000516DB">
        <w:t xml:space="preserve">al estándar </w:t>
      </w:r>
      <w:r>
        <w:t xml:space="preserve">tecnológico </w:t>
      </w:r>
      <w:r w:rsidR="000516DB">
        <w:t>5G.</w:t>
      </w:r>
    </w:p>
    <w:p w14:paraId="2EB26F8C" w14:textId="77777777" w:rsidR="00A53055" w:rsidRDefault="00A53055" w:rsidP="003B5D5F">
      <w:pPr>
        <w:pStyle w:val="Prrafodelista"/>
      </w:pPr>
    </w:p>
    <w:p w14:paraId="0A141BD4" w14:textId="77777777" w:rsidR="00A53055" w:rsidRDefault="00A53055" w:rsidP="00A53055">
      <w:pPr>
        <w:pStyle w:val="Prrafodelista"/>
        <w:numPr>
          <w:ilvl w:val="0"/>
          <w:numId w:val="5"/>
        </w:numPr>
        <w:spacing w:after="360"/>
        <w:jc w:val="both"/>
      </w:pPr>
      <w:r>
        <w:t>La evaluación de las propuestas declaradas como admisibles, se desarrollará en dos fases:</w:t>
      </w:r>
    </w:p>
    <w:p w14:paraId="243C875D" w14:textId="77777777" w:rsidR="00A53055" w:rsidRDefault="00A53055" w:rsidP="003B5D5F">
      <w:pPr>
        <w:pStyle w:val="Prrafodelista"/>
        <w:spacing w:after="360"/>
        <w:jc w:val="both"/>
      </w:pPr>
    </w:p>
    <w:p w14:paraId="664ED9FB" w14:textId="27F25BD0" w:rsidR="0056715E" w:rsidRDefault="00A53055" w:rsidP="003B5D5F">
      <w:pPr>
        <w:pStyle w:val="Prrafodelista"/>
        <w:numPr>
          <w:ilvl w:val="0"/>
          <w:numId w:val="11"/>
        </w:numPr>
        <w:spacing w:after="360"/>
        <w:jc w:val="both"/>
      </w:pPr>
      <w:r>
        <w:t>Una primera de carácter técnico, sujeta al método de evaluación que se describirá en las bases del proceso</w:t>
      </w:r>
      <w:r w:rsidR="0030016E">
        <w:t xml:space="preserve"> y</w:t>
      </w:r>
      <w:r>
        <w:t xml:space="preserve"> que se efectuará de manera simultánea respecto de cada una de las bandas </w:t>
      </w:r>
      <w:r w:rsidR="00D83F3B">
        <w:t xml:space="preserve">o bloques de banda </w:t>
      </w:r>
      <w:r>
        <w:t>en concurso; y,</w:t>
      </w:r>
    </w:p>
    <w:p w14:paraId="41A1E175" w14:textId="77777777" w:rsidR="00A91CEA" w:rsidRDefault="00A91CEA" w:rsidP="00A91CEA">
      <w:pPr>
        <w:pStyle w:val="Prrafodelista"/>
        <w:spacing w:after="360"/>
        <w:ind w:left="1080"/>
        <w:jc w:val="both"/>
      </w:pPr>
    </w:p>
    <w:p w14:paraId="236D2F0B" w14:textId="6B4AD444" w:rsidR="00A53055" w:rsidRDefault="00A53055" w:rsidP="003B5D5F">
      <w:pPr>
        <w:pStyle w:val="Prrafodelista"/>
        <w:numPr>
          <w:ilvl w:val="0"/>
          <w:numId w:val="11"/>
        </w:numPr>
        <w:spacing w:after="360"/>
        <w:jc w:val="both"/>
      </w:pPr>
      <w:r>
        <w:t>Una segunda de carácter económico, denominada licitación</w:t>
      </w:r>
      <w:r w:rsidR="005310CA">
        <w:t>,</w:t>
      </w:r>
      <w:r>
        <w:t xml:space="preserve"> sujeta a la eventualidad de que exista empate producto de la evaluación técnica descrita en la letra precedente, que determinará la adjudicación de los respectivos bloques, en función de la demanda </w:t>
      </w:r>
      <w:r w:rsidR="0030016E">
        <w:t>u oferta económica</w:t>
      </w:r>
      <w:r>
        <w:t xml:space="preserve"> expresad</w:t>
      </w:r>
      <w:r w:rsidR="0030016E">
        <w:t>as</w:t>
      </w:r>
      <w:r>
        <w:t xml:space="preserve"> por los participantes.</w:t>
      </w:r>
    </w:p>
    <w:p w14:paraId="57A9FDB5" w14:textId="77777777" w:rsidR="00E07196" w:rsidRDefault="00E07196" w:rsidP="00F42C0A">
      <w:pPr>
        <w:pStyle w:val="Prrafodelista"/>
        <w:spacing w:after="360"/>
        <w:ind w:left="567" w:hanging="572"/>
        <w:jc w:val="both"/>
      </w:pPr>
    </w:p>
    <w:p w14:paraId="7C9942DB" w14:textId="7C9571EE" w:rsidR="00E04A4B" w:rsidRDefault="000D0529" w:rsidP="00E04A4B">
      <w:pPr>
        <w:pStyle w:val="Prrafodelista"/>
        <w:numPr>
          <w:ilvl w:val="0"/>
          <w:numId w:val="5"/>
        </w:numPr>
        <w:spacing w:after="0"/>
        <w:jc w:val="both"/>
      </w:pPr>
      <w:r>
        <w:t xml:space="preserve">El proyecto </w:t>
      </w:r>
      <w:r w:rsidR="00A91CEA">
        <w:t>técnico</w:t>
      </w:r>
      <w:r w:rsidR="0099473A">
        <w:t>, señalado en la letra iv) anterior, podrá</w:t>
      </w:r>
      <w:r w:rsidR="00A91CEA">
        <w:t xml:space="preserve"> </w:t>
      </w:r>
      <w:r>
        <w:t>contempla</w:t>
      </w:r>
      <w:r w:rsidR="0099473A">
        <w:t>r</w:t>
      </w:r>
      <w:r>
        <w:t xml:space="preserve"> </w:t>
      </w:r>
      <w:r w:rsidR="00E04A4B">
        <w:t xml:space="preserve">hasta </w:t>
      </w:r>
      <w:r>
        <w:t xml:space="preserve">cinco etapas consecutivas, con una duración de un año cada una. No obstante ello, se reconocerá a los concursantes que oferten </w:t>
      </w:r>
      <w:r w:rsidR="00A91CEA">
        <w:t>su</w:t>
      </w:r>
      <w:r>
        <w:t xml:space="preserve"> ejecución en menos etapas, tal como ha ocurrido en concursos </w:t>
      </w:r>
      <w:r w:rsidR="00A91CEA">
        <w:t>anteriores</w:t>
      </w:r>
      <w:r>
        <w:t xml:space="preserve"> de espectro.  </w:t>
      </w:r>
    </w:p>
    <w:p w14:paraId="0B26E6FE" w14:textId="77777777" w:rsidR="00E04A4B" w:rsidRDefault="00E04A4B" w:rsidP="00E04A4B">
      <w:pPr>
        <w:spacing w:after="0"/>
        <w:jc w:val="both"/>
      </w:pPr>
    </w:p>
    <w:p w14:paraId="62CD1D69" w14:textId="0C7DFA97" w:rsidR="00047F54" w:rsidRDefault="0030016E" w:rsidP="00E04A4B">
      <w:pPr>
        <w:pStyle w:val="Prrafodelista"/>
        <w:numPr>
          <w:ilvl w:val="0"/>
          <w:numId w:val="5"/>
        </w:numPr>
        <w:spacing w:after="0"/>
        <w:jc w:val="both"/>
      </w:pPr>
      <w:r>
        <w:t>En cuanto a las coberturas, se estará a los siguientes parámetros:</w:t>
      </w:r>
    </w:p>
    <w:p w14:paraId="71EE1DC8" w14:textId="77777777" w:rsidR="00047F54" w:rsidRDefault="00047F54" w:rsidP="00047F54">
      <w:pPr>
        <w:spacing w:after="0"/>
        <w:jc w:val="both"/>
      </w:pPr>
    </w:p>
    <w:p w14:paraId="0D01EF80" w14:textId="329EDBE6" w:rsidR="00184634" w:rsidRPr="00B6527B" w:rsidRDefault="00B6527B" w:rsidP="00184634">
      <w:pPr>
        <w:pStyle w:val="Prrafodelista"/>
        <w:jc w:val="both"/>
        <w:rPr>
          <w:i/>
        </w:rPr>
      </w:pPr>
      <w:r w:rsidRPr="00B6527B">
        <w:rPr>
          <w:i/>
          <w:u w:val="single"/>
        </w:rPr>
        <w:t>Tabla 2</w:t>
      </w:r>
      <w:r w:rsidRPr="00B6527B">
        <w:rPr>
          <w:i/>
        </w:rPr>
        <w:t>:</w:t>
      </w:r>
    </w:p>
    <w:p w14:paraId="31B0AE54" w14:textId="77777777" w:rsidR="00B6527B" w:rsidRPr="00B6527B" w:rsidRDefault="00B6527B" w:rsidP="00184634">
      <w:pPr>
        <w:pStyle w:val="Prrafodelista"/>
        <w:jc w:val="both"/>
        <w:rPr>
          <w:b/>
        </w:rPr>
      </w:pPr>
    </w:p>
    <w:tbl>
      <w:tblPr>
        <w:tblStyle w:val="Tablaconcuadrcula"/>
        <w:tblW w:w="0" w:type="auto"/>
        <w:tblInd w:w="720" w:type="dxa"/>
        <w:tblLook w:val="04A0" w:firstRow="1" w:lastRow="0" w:firstColumn="1" w:lastColumn="0" w:noHBand="0" w:noVBand="1"/>
      </w:tblPr>
      <w:tblGrid>
        <w:gridCol w:w="1798"/>
        <w:gridCol w:w="3119"/>
        <w:gridCol w:w="3084"/>
      </w:tblGrid>
      <w:tr w:rsidR="008B2498" w14:paraId="6342F0D7" w14:textId="77777777" w:rsidTr="008B2498">
        <w:trPr>
          <w:trHeight w:val="694"/>
        </w:trPr>
        <w:tc>
          <w:tcPr>
            <w:tcW w:w="1798" w:type="dxa"/>
          </w:tcPr>
          <w:p w14:paraId="29894B21" w14:textId="7505A804" w:rsidR="00184634" w:rsidRPr="00CE717E" w:rsidRDefault="00184634" w:rsidP="008B2498">
            <w:pPr>
              <w:pStyle w:val="Prrafodelista"/>
              <w:ind w:left="0"/>
              <w:rPr>
                <w:b/>
              </w:rPr>
            </w:pPr>
            <w:r w:rsidRPr="00CE717E">
              <w:rPr>
                <w:b/>
              </w:rPr>
              <w:t>Banda de frecuencias</w:t>
            </w:r>
          </w:p>
        </w:tc>
        <w:tc>
          <w:tcPr>
            <w:tcW w:w="3119" w:type="dxa"/>
          </w:tcPr>
          <w:p w14:paraId="1313ED02" w14:textId="6D5C4D1E" w:rsidR="00184634" w:rsidRPr="00CE717E" w:rsidRDefault="00972384" w:rsidP="008B2498">
            <w:pPr>
              <w:pStyle w:val="Prrafodelista"/>
              <w:ind w:left="0"/>
              <w:rPr>
                <w:b/>
              </w:rPr>
            </w:pPr>
            <w:r>
              <w:rPr>
                <w:b/>
              </w:rPr>
              <w:t>Cobertura esperada para obtener el máximo puntaje</w:t>
            </w:r>
            <w:r w:rsidR="0030016E">
              <w:rPr>
                <w:b/>
              </w:rPr>
              <w:t xml:space="preserve"> en una comuna</w:t>
            </w:r>
            <w:r w:rsidR="003F11DC">
              <w:rPr>
                <w:b/>
              </w:rPr>
              <w:t xml:space="preserve"> (</w:t>
            </w:r>
            <w:r w:rsidR="0030016E">
              <w:rPr>
                <w:b/>
              </w:rPr>
              <w:t>*</w:t>
            </w:r>
            <w:r w:rsidR="003F11DC">
              <w:rPr>
                <w:b/>
              </w:rPr>
              <w:t>)</w:t>
            </w:r>
          </w:p>
        </w:tc>
        <w:tc>
          <w:tcPr>
            <w:tcW w:w="3084" w:type="dxa"/>
          </w:tcPr>
          <w:p w14:paraId="7E782C28" w14:textId="432E9FF1" w:rsidR="00184634" w:rsidRPr="00CE717E" w:rsidRDefault="00184634" w:rsidP="008B2498">
            <w:pPr>
              <w:pStyle w:val="Prrafodelista"/>
              <w:ind w:left="0"/>
              <w:rPr>
                <w:b/>
              </w:rPr>
            </w:pPr>
            <w:r w:rsidRPr="00CE717E">
              <w:rPr>
                <w:b/>
              </w:rPr>
              <w:t>Comunas en que aplica</w:t>
            </w:r>
          </w:p>
        </w:tc>
      </w:tr>
      <w:tr w:rsidR="008B2498" w14:paraId="0AC1E9AE" w14:textId="77777777" w:rsidTr="008B2498">
        <w:tc>
          <w:tcPr>
            <w:tcW w:w="1798" w:type="dxa"/>
            <w:vMerge w:val="restart"/>
          </w:tcPr>
          <w:p w14:paraId="1A1E611E" w14:textId="6EBABCB6" w:rsidR="008B2498" w:rsidRDefault="008B2498" w:rsidP="008B2498">
            <w:pPr>
              <w:pStyle w:val="Prrafodelista"/>
              <w:ind w:left="0"/>
            </w:pPr>
            <w:r>
              <w:lastRenderedPageBreak/>
              <w:t>700 MHz</w:t>
            </w:r>
          </w:p>
        </w:tc>
        <w:tc>
          <w:tcPr>
            <w:tcW w:w="3119" w:type="dxa"/>
          </w:tcPr>
          <w:p w14:paraId="1A807CCA" w14:textId="5C4DC735" w:rsidR="008B2498" w:rsidRDefault="008B2498" w:rsidP="0030016E">
            <w:pPr>
              <w:pStyle w:val="Prrafodelista"/>
              <w:ind w:left="0"/>
            </w:pPr>
            <w:r>
              <w:t xml:space="preserve">200 </w:t>
            </w:r>
            <w:r w:rsidR="0030016E">
              <w:t>k</w:t>
            </w:r>
            <w:r>
              <w:t>m</w:t>
            </w:r>
            <w:r w:rsidRPr="008B2498">
              <w:rPr>
                <w:vertAlign w:val="superscript"/>
              </w:rPr>
              <w:t>2</w:t>
            </w:r>
            <w:r>
              <w:t xml:space="preserve">, o </w:t>
            </w:r>
            <w:r w:rsidRPr="00184634">
              <w:t xml:space="preserve">la superficie de la comuna, </w:t>
            </w:r>
            <w:r>
              <w:t>si ésta es inferior a 200</w:t>
            </w:r>
            <w:r w:rsidR="0030016E">
              <w:t xml:space="preserve"> k</w:t>
            </w:r>
            <w:r>
              <w:t>m</w:t>
            </w:r>
            <w:r w:rsidRPr="008B2498">
              <w:rPr>
                <w:vertAlign w:val="superscript"/>
              </w:rPr>
              <w:t>2</w:t>
            </w:r>
            <w:r>
              <w:t>.</w:t>
            </w:r>
          </w:p>
        </w:tc>
        <w:tc>
          <w:tcPr>
            <w:tcW w:w="3084" w:type="dxa"/>
          </w:tcPr>
          <w:p w14:paraId="4E401066" w14:textId="03F456E6" w:rsidR="008B2498" w:rsidRDefault="008B2498" w:rsidP="008B2498">
            <w:pPr>
              <w:pStyle w:val="Prrafodelista"/>
              <w:ind w:left="0"/>
            </w:pPr>
            <w:r>
              <w:t>Las correspondientes a las regiones de Valparaíso, Metropolitana, Maule, Bío Bío, Ñuble y Araucanía.</w:t>
            </w:r>
          </w:p>
        </w:tc>
      </w:tr>
      <w:tr w:rsidR="008B2498" w14:paraId="093E4446" w14:textId="77777777" w:rsidTr="008B2498">
        <w:tc>
          <w:tcPr>
            <w:tcW w:w="1798" w:type="dxa"/>
            <w:vMerge/>
          </w:tcPr>
          <w:p w14:paraId="4C2E7CC5" w14:textId="77777777" w:rsidR="008B2498" w:rsidRDefault="008B2498" w:rsidP="008B2498">
            <w:pPr>
              <w:pStyle w:val="Prrafodelista"/>
              <w:ind w:left="0"/>
            </w:pPr>
          </w:p>
        </w:tc>
        <w:tc>
          <w:tcPr>
            <w:tcW w:w="3119" w:type="dxa"/>
          </w:tcPr>
          <w:p w14:paraId="2E757320" w14:textId="0F4EF1BE" w:rsidR="008B2498" w:rsidRDefault="008B2498" w:rsidP="008B2498">
            <w:pPr>
              <w:pStyle w:val="Prrafodelista"/>
              <w:ind w:left="0"/>
            </w:pPr>
            <w:r>
              <w:t>1</w:t>
            </w:r>
            <w:r w:rsidR="0030016E">
              <w:t>00 k</w:t>
            </w:r>
            <w:r w:rsidRPr="00184634">
              <w:t>m</w:t>
            </w:r>
            <w:r w:rsidRPr="008B2498">
              <w:rPr>
                <w:vertAlign w:val="superscript"/>
              </w:rPr>
              <w:t>2</w:t>
            </w:r>
            <w:r w:rsidRPr="00184634">
              <w:t>, o la superficie de la</w:t>
            </w:r>
            <w:r>
              <w:t xml:space="preserve"> comuna, si ésta es inferior a 1</w:t>
            </w:r>
            <w:r w:rsidR="0030016E">
              <w:t>00 k</w:t>
            </w:r>
            <w:r w:rsidRPr="00184634">
              <w:t>m</w:t>
            </w:r>
            <w:r w:rsidRPr="008B2498">
              <w:rPr>
                <w:vertAlign w:val="superscript"/>
              </w:rPr>
              <w:t>2</w:t>
            </w:r>
            <w:r>
              <w:t>.</w:t>
            </w:r>
          </w:p>
        </w:tc>
        <w:tc>
          <w:tcPr>
            <w:tcW w:w="3084" w:type="dxa"/>
          </w:tcPr>
          <w:p w14:paraId="6ACE5921" w14:textId="6CDD1C38" w:rsidR="008B2498" w:rsidRDefault="008B2498" w:rsidP="008B2498">
            <w:pPr>
              <w:pStyle w:val="Prrafodelista"/>
              <w:ind w:left="0"/>
            </w:pPr>
            <w:r>
              <w:t>Resto de las comunas.</w:t>
            </w:r>
          </w:p>
        </w:tc>
      </w:tr>
      <w:tr w:rsidR="008B2498" w14:paraId="4EF0554F" w14:textId="77777777" w:rsidTr="008B2498">
        <w:tc>
          <w:tcPr>
            <w:tcW w:w="1798" w:type="dxa"/>
          </w:tcPr>
          <w:p w14:paraId="34CDD984" w14:textId="30A61268" w:rsidR="00184634" w:rsidRDefault="008B2498" w:rsidP="008B2498">
            <w:pPr>
              <w:pStyle w:val="Prrafodelista"/>
              <w:ind w:left="0"/>
            </w:pPr>
            <w:r>
              <w:t>AWS</w:t>
            </w:r>
          </w:p>
        </w:tc>
        <w:tc>
          <w:tcPr>
            <w:tcW w:w="3119" w:type="dxa"/>
          </w:tcPr>
          <w:p w14:paraId="581E7D9C" w14:textId="580DB633" w:rsidR="00184634" w:rsidRDefault="0030016E" w:rsidP="008B2498">
            <w:pPr>
              <w:pStyle w:val="Prrafodelista"/>
              <w:ind w:left="0"/>
            </w:pPr>
            <w:r>
              <w:t>100 k</w:t>
            </w:r>
            <w:r w:rsidR="008B2498" w:rsidRPr="008B2498">
              <w:t>m</w:t>
            </w:r>
            <w:r w:rsidR="008B2498" w:rsidRPr="008B2498">
              <w:rPr>
                <w:vertAlign w:val="superscript"/>
              </w:rPr>
              <w:t>2</w:t>
            </w:r>
            <w:r w:rsidR="008B2498" w:rsidRPr="008B2498">
              <w:t>, o la superficie de la co</w:t>
            </w:r>
            <w:r>
              <w:t>muna, si ésta es inferior a 100 k</w:t>
            </w:r>
            <w:r w:rsidR="008B2498" w:rsidRPr="008B2498">
              <w:t>m</w:t>
            </w:r>
            <w:r w:rsidR="008B2498" w:rsidRPr="008B2498">
              <w:rPr>
                <w:vertAlign w:val="superscript"/>
              </w:rPr>
              <w:t>2</w:t>
            </w:r>
            <w:r w:rsidR="008B2498" w:rsidRPr="008B2498">
              <w:t>.</w:t>
            </w:r>
          </w:p>
        </w:tc>
        <w:tc>
          <w:tcPr>
            <w:tcW w:w="3084" w:type="dxa"/>
          </w:tcPr>
          <w:p w14:paraId="24C5AFA7" w14:textId="3F31C4BD" w:rsidR="00184634" w:rsidRDefault="008B2498" w:rsidP="008B2498">
            <w:pPr>
              <w:pStyle w:val="Prrafodelista"/>
              <w:ind w:left="0"/>
            </w:pPr>
            <w:r>
              <w:t>Todas las comunas del país.</w:t>
            </w:r>
          </w:p>
        </w:tc>
      </w:tr>
      <w:tr w:rsidR="008B2498" w14:paraId="7F254F3B" w14:textId="77777777" w:rsidTr="008B2498">
        <w:tc>
          <w:tcPr>
            <w:tcW w:w="1798" w:type="dxa"/>
          </w:tcPr>
          <w:p w14:paraId="6F967743" w14:textId="4AD307C6" w:rsidR="008B2498" w:rsidRDefault="008B2498" w:rsidP="008B2498">
            <w:pPr>
              <w:pStyle w:val="Prrafodelista"/>
              <w:ind w:left="0"/>
            </w:pPr>
            <w:r>
              <w:t>3.5 GHz</w:t>
            </w:r>
          </w:p>
        </w:tc>
        <w:tc>
          <w:tcPr>
            <w:tcW w:w="3119" w:type="dxa"/>
          </w:tcPr>
          <w:p w14:paraId="7A6A27CB" w14:textId="2E2DD1ED" w:rsidR="008B2498" w:rsidRDefault="008D57AF" w:rsidP="0030016E">
            <w:pPr>
              <w:pStyle w:val="Prrafodelista"/>
              <w:ind w:left="0"/>
            </w:pPr>
            <w:r>
              <w:t xml:space="preserve">En principio, </w:t>
            </w:r>
            <w:r w:rsidR="008B2498">
              <w:t>20</w:t>
            </w:r>
            <w:r w:rsidR="008B2498" w:rsidRPr="008B2498">
              <w:t xml:space="preserve"> </w:t>
            </w:r>
            <w:r w:rsidR="0030016E">
              <w:t>k</w:t>
            </w:r>
            <w:r w:rsidR="008B2498" w:rsidRPr="008B2498">
              <w:t>m</w:t>
            </w:r>
            <w:r w:rsidR="008B2498" w:rsidRPr="008B2498">
              <w:rPr>
                <w:vertAlign w:val="superscript"/>
              </w:rPr>
              <w:t>2</w:t>
            </w:r>
            <w:r w:rsidR="008B2498" w:rsidRPr="008B2498">
              <w:t xml:space="preserve">, o la superficie de la </w:t>
            </w:r>
            <w:r w:rsidR="008B2498">
              <w:t>comuna, si ésta es inferior a 2</w:t>
            </w:r>
            <w:r w:rsidR="0030016E">
              <w:t>0 k</w:t>
            </w:r>
            <w:r w:rsidR="008B2498" w:rsidRPr="008B2498">
              <w:t>m</w:t>
            </w:r>
            <w:r w:rsidR="008B2498" w:rsidRPr="008B2498">
              <w:rPr>
                <w:vertAlign w:val="superscript"/>
              </w:rPr>
              <w:t>2</w:t>
            </w:r>
            <w:r w:rsidR="008B2498" w:rsidRPr="008B2498">
              <w:t>.</w:t>
            </w:r>
          </w:p>
        </w:tc>
        <w:tc>
          <w:tcPr>
            <w:tcW w:w="3084" w:type="dxa"/>
          </w:tcPr>
          <w:p w14:paraId="55858AA9" w14:textId="77777777" w:rsidR="008B2498" w:rsidRDefault="008B2498" w:rsidP="008B2498">
            <w:pPr>
              <w:pStyle w:val="Prrafodelista"/>
              <w:ind w:left="0"/>
            </w:pPr>
            <w:r>
              <w:t>Todas las comunas del país.</w:t>
            </w:r>
          </w:p>
        </w:tc>
      </w:tr>
      <w:tr w:rsidR="008B2498" w14:paraId="72B7F69C" w14:textId="77777777" w:rsidTr="008B2498">
        <w:trPr>
          <w:trHeight w:val="427"/>
        </w:trPr>
        <w:tc>
          <w:tcPr>
            <w:tcW w:w="1798" w:type="dxa"/>
          </w:tcPr>
          <w:p w14:paraId="555D8278" w14:textId="6AE8A0CD" w:rsidR="008B2498" w:rsidRDefault="008B2498" w:rsidP="008B2498">
            <w:pPr>
              <w:pStyle w:val="Prrafodelista"/>
              <w:ind w:left="0"/>
            </w:pPr>
            <w:r>
              <w:t>28 GHz</w:t>
            </w:r>
          </w:p>
        </w:tc>
        <w:tc>
          <w:tcPr>
            <w:tcW w:w="3119" w:type="dxa"/>
          </w:tcPr>
          <w:p w14:paraId="7F630F21" w14:textId="546A467C" w:rsidR="008B2498" w:rsidRDefault="008B2498" w:rsidP="008B2498">
            <w:pPr>
              <w:pStyle w:val="Prrafodelista"/>
              <w:ind w:left="0"/>
            </w:pPr>
            <w:r>
              <w:t>Criterio sujeto a definición</w:t>
            </w:r>
          </w:p>
        </w:tc>
        <w:tc>
          <w:tcPr>
            <w:tcW w:w="3084" w:type="dxa"/>
          </w:tcPr>
          <w:p w14:paraId="16486784" w14:textId="18A28FC3" w:rsidR="008B2498" w:rsidRDefault="008B2498" w:rsidP="008B2498">
            <w:pPr>
              <w:pStyle w:val="Prrafodelista"/>
              <w:ind w:left="0"/>
            </w:pPr>
            <w:r>
              <w:t>Criterio sujeto a definición.</w:t>
            </w:r>
          </w:p>
        </w:tc>
      </w:tr>
    </w:tbl>
    <w:p w14:paraId="244D41B4" w14:textId="6BED1CE3" w:rsidR="00184634" w:rsidRDefault="00DB1554" w:rsidP="00DB1554">
      <w:pPr>
        <w:jc w:val="center"/>
      </w:pPr>
      <w:r>
        <w:rPr>
          <w:sz w:val="16"/>
        </w:rPr>
        <w:t xml:space="preserve">                                                                                               </w:t>
      </w:r>
      <w:r w:rsidR="0030016E" w:rsidRPr="0030016E">
        <w:rPr>
          <w:sz w:val="16"/>
        </w:rPr>
        <w:t>*El puntaje de cada comuna será obtenido en función de su población.</w:t>
      </w:r>
    </w:p>
    <w:p w14:paraId="1E4DA8B1" w14:textId="77777777" w:rsidR="00184634" w:rsidRPr="00C51413" w:rsidRDefault="00184634" w:rsidP="00184634">
      <w:pPr>
        <w:pStyle w:val="Prrafodelista"/>
        <w:jc w:val="both"/>
      </w:pPr>
    </w:p>
    <w:p w14:paraId="69FA9829" w14:textId="0294F0F0" w:rsidR="00167CFA" w:rsidRDefault="00524D28" w:rsidP="00167CFA">
      <w:pPr>
        <w:pStyle w:val="Prrafodelista"/>
        <w:numPr>
          <w:ilvl w:val="0"/>
          <w:numId w:val="5"/>
        </w:numPr>
        <w:jc w:val="both"/>
      </w:pPr>
      <w:r>
        <w:t xml:space="preserve">La tecnología que se exigirá para la implementación del proyecto técnico, será </w:t>
      </w:r>
      <w:r w:rsidR="00167CFA">
        <w:t xml:space="preserve"> </w:t>
      </w:r>
      <w:r>
        <w:t>la que cumpla con</w:t>
      </w:r>
      <w:r w:rsidR="00167CFA" w:rsidRPr="00167CFA">
        <w:t xml:space="preserve"> </w:t>
      </w:r>
      <w:r w:rsidR="00167CFA">
        <w:t>el</w:t>
      </w:r>
      <w:r w:rsidR="00167CFA" w:rsidRPr="00167CFA">
        <w:t xml:space="preserve"> estándar </w:t>
      </w:r>
      <w:r w:rsidR="00167CFA" w:rsidRPr="00E04A4B">
        <w:rPr>
          <w:i/>
        </w:rPr>
        <w:t xml:space="preserve">Release 15 </w:t>
      </w:r>
      <w:r w:rsidR="00E04A4B">
        <w:rPr>
          <w:i/>
        </w:rPr>
        <w:t xml:space="preserve">3GPP </w:t>
      </w:r>
      <w:r w:rsidR="00E04A4B">
        <w:t>o superior.</w:t>
      </w:r>
    </w:p>
    <w:p w14:paraId="0DE0EC8C" w14:textId="77777777" w:rsidR="00BF3582" w:rsidRDefault="00BF3582" w:rsidP="00BF3582">
      <w:pPr>
        <w:jc w:val="both"/>
      </w:pPr>
    </w:p>
    <w:p w14:paraId="63518675" w14:textId="2E3F1391" w:rsidR="00BF3582" w:rsidRDefault="00BF3582" w:rsidP="00BF3582">
      <w:pPr>
        <w:pStyle w:val="Prrafodelista"/>
        <w:numPr>
          <w:ilvl w:val="0"/>
          <w:numId w:val="8"/>
        </w:numPr>
        <w:jc w:val="both"/>
        <w:rPr>
          <w:rFonts w:asciiTheme="majorHAnsi" w:hAnsiTheme="majorHAnsi" w:cstheme="majorHAnsi"/>
          <w:b/>
          <w:sz w:val="32"/>
          <w:szCs w:val="32"/>
        </w:rPr>
      </w:pPr>
      <w:r>
        <w:rPr>
          <w:rFonts w:asciiTheme="majorHAnsi" w:hAnsiTheme="majorHAnsi" w:cstheme="majorHAnsi"/>
          <w:b/>
          <w:sz w:val="32"/>
          <w:szCs w:val="32"/>
        </w:rPr>
        <w:t>Situación de la banda de frecuencias 3,4-3,</w:t>
      </w:r>
      <w:r w:rsidR="00D607CA">
        <w:rPr>
          <w:rFonts w:asciiTheme="majorHAnsi" w:hAnsiTheme="majorHAnsi" w:cstheme="majorHAnsi"/>
          <w:b/>
          <w:sz w:val="32"/>
          <w:szCs w:val="32"/>
        </w:rPr>
        <w:t>65</w:t>
      </w:r>
      <w:r>
        <w:rPr>
          <w:rFonts w:asciiTheme="majorHAnsi" w:hAnsiTheme="majorHAnsi" w:cstheme="majorHAnsi"/>
          <w:b/>
          <w:sz w:val="32"/>
          <w:szCs w:val="32"/>
        </w:rPr>
        <w:t xml:space="preserve"> GHz</w:t>
      </w:r>
    </w:p>
    <w:p w14:paraId="49A01DFB" w14:textId="77777777" w:rsidR="00BF3582" w:rsidRDefault="00BF3582" w:rsidP="00BF3582">
      <w:pPr>
        <w:spacing w:after="0"/>
        <w:jc w:val="both"/>
      </w:pPr>
    </w:p>
    <w:p w14:paraId="2B43023A" w14:textId="52CACA4B" w:rsidR="00351B83" w:rsidRDefault="00351B83" w:rsidP="00BF3582">
      <w:pPr>
        <w:spacing w:after="0"/>
        <w:jc w:val="both"/>
      </w:pPr>
      <w:r>
        <w:t xml:space="preserve">De acuerdo con lo explicado previamente, hasta ahora únicamente existen 50 MHz </w:t>
      </w:r>
      <w:r w:rsidR="00E15E25">
        <w:t xml:space="preserve">libres factibles de ser </w:t>
      </w:r>
      <w:r>
        <w:t>destinados a servicios móviles en esta banda de frecuencias, que no se encuentra previamente asignada a ningún tipo de servicio de telecomunicaciones.</w:t>
      </w:r>
    </w:p>
    <w:p w14:paraId="5D25AE75" w14:textId="31911D47" w:rsidR="00351B83" w:rsidRDefault="00351B83" w:rsidP="00BF3582">
      <w:pPr>
        <w:spacing w:after="0"/>
        <w:jc w:val="both"/>
      </w:pPr>
    </w:p>
    <w:p w14:paraId="271D06A2" w14:textId="0B43D562" w:rsidR="00351B83" w:rsidRDefault="00351B83" w:rsidP="00BF3582">
      <w:pPr>
        <w:spacing w:after="0"/>
        <w:jc w:val="both"/>
      </w:pPr>
      <w:r>
        <w:t>Sin embargo, el objetivo que este Subsecretaría consiste en poder incorporar en los futuros concursos todo o parte del espectro asignado en sub-banda de frecuencias de 3,4 - 3,6 GHz. Lo anterior, pues si no se realiza ningún tipo de reordenamiento en la referida sub-banda, se producirán un uso ineficiente del espectro.</w:t>
      </w:r>
    </w:p>
    <w:p w14:paraId="445DCDE5" w14:textId="009CBCD0" w:rsidR="00351B83" w:rsidRDefault="00351B83" w:rsidP="00BF3582">
      <w:pPr>
        <w:spacing w:after="0"/>
        <w:jc w:val="both"/>
      </w:pPr>
    </w:p>
    <w:p w14:paraId="729BEC81" w14:textId="3FF09D83" w:rsidR="00351B83" w:rsidRDefault="00351B83" w:rsidP="00BF3582">
      <w:pPr>
        <w:spacing w:after="0"/>
        <w:jc w:val="both"/>
      </w:pPr>
      <w:r>
        <w:t xml:space="preserve">En efecto: </w:t>
      </w:r>
    </w:p>
    <w:p w14:paraId="2049A212" w14:textId="77777777" w:rsidR="00BF3582" w:rsidRDefault="00BF3582" w:rsidP="00BF3582">
      <w:pPr>
        <w:spacing w:after="0"/>
        <w:jc w:val="both"/>
      </w:pPr>
    </w:p>
    <w:p w14:paraId="43DB5239" w14:textId="77777777" w:rsidR="00BF3582" w:rsidRDefault="00BF3582" w:rsidP="00BF3582">
      <w:pPr>
        <w:pStyle w:val="Prrafodelista"/>
        <w:numPr>
          <w:ilvl w:val="2"/>
          <w:numId w:val="17"/>
        </w:numPr>
        <w:spacing w:after="0"/>
        <w:jc w:val="both"/>
      </w:pPr>
      <w:r>
        <w:t>Esta banda corresponde a la banda armonizada mundialmente para la prestación de servicios IMT-2020, definidos por la UIT en la Conferencia Mundial de Radiocomunicaciones de 2015 y, es a partir de ella que se inician los desarrollos para el despliegue de la tecnología 5G.</w:t>
      </w:r>
    </w:p>
    <w:p w14:paraId="4FEE2BB3" w14:textId="77777777" w:rsidR="00BF3582" w:rsidRDefault="00BF3582" w:rsidP="00BF3582">
      <w:pPr>
        <w:pStyle w:val="Prrafodelista"/>
        <w:spacing w:after="0"/>
        <w:jc w:val="both"/>
      </w:pPr>
    </w:p>
    <w:p w14:paraId="7F0F4771" w14:textId="0CD78F12" w:rsidR="00BF3582" w:rsidRDefault="00BF3582" w:rsidP="00BF3582">
      <w:pPr>
        <w:pStyle w:val="Prrafodelista"/>
        <w:numPr>
          <w:ilvl w:val="2"/>
          <w:numId w:val="17"/>
        </w:numPr>
        <w:jc w:val="both"/>
      </w:pPr>
      <w:r>
        <w:t xml:space="preserve">El ordenamiento y distribución </w:t>
      </w:r>
      <w:r w:rsidR="00E15E25">
        <w:t>definitiva</w:t>
      </w:r>
      <w:r>
        <w:t xml:space="preserve"> de la </w:t>
      </w:r>
      <w:r w:rsidR="00351B83">
        <w:t>sub-</w:t>
      </w:r>
      <w:r>
        <w:t>banda 3,4 - 3,6 GHz, para efectos de otorgar las concesiones de servicio</w:t>
      </w:r>
      <w:r w:rsidR="00D83F3B">
        <w:t>s</w:t>
      </w:r>
      <w:r>
        <w:t xml:space="preserve"> público</w:t>
      </w:r>
      <w:r w:rsidR="00D83F3B">
        <w:t>s</w:t>
      </w:r>
      <w:r>
        <w:t xml:space="preserve"> de telefonía local inalámbrica, se estableció según la tecnología empleada por el equipamiento disponible en su época, </w:t>
      </w:r>
      <w:r w:rsidRPr="003F11DC">
        <w:rPr>
          <w:i/>
        </w:rPr>
        <w:t>wireless local loop</w:t>
      </w:r>
      <w:r>
        <w:t xml:space="preserve"> inicialmente y Wimax posteriormente, en razón de lo cual se otorgaron concesiones con técnica de tipo FDD (</w:t>
      </w:r>
      <w:r w:rsidRPr="003F11DC">
        <w:rPr>
          <w:i/>
        </w:rPr>
        <w:t>Frequency Division Multiplex</w:t>
      </w:r>
      <w:r>
        <w:t>), asignándose bloques separados para transmisión y recepción, de 25 MHz de ancho cada uno</w:t>
      </w:r>
      <w:r w:rsidR="00351B83">
        <w:t xml:space="preserve">. Sin embargo, esta técnica </w:t>
      </w:r>
      <w:r>
        <w:t>no está acorde a las nuevas tecnologías que emplean la técnica TDD (</w:t>
      </w:r>
      <w:r w:rsidRPr="003F11DC">
        <w:rPr>
          <w:i/>
        </w:rPr>
        <w:t>Time Division Duplex</w:t>
      </w:r>
      <w:r>
        <w:t>) en la banda 3,5 GHz y anchos de banda mayores.</w:t>
      </w:r>
    </w:p>
    <w:p w14:paraId="0834BCF4" w14:textId="77777777" w:rsidR="00BF3582" w:rsidRDefault="00BF3582" w:rsidP="00BF3582">
      <w:pPr>
        <w:pStyle w:val="Prrafodelista"/>
        <w:jc w:val="both"/>
      </w:pPr>
    </w:p>
    <w:p w14:paraId="6A419CB4" w14:textId="4A5417F8" w:rsidR="00BF3582" w:rsidRDefault="00BF3582" w:rsidP="003F11DC">
      <w:pPr>
        <w:pStyle w:val="Prrafodelista"/>
        <w:numPr>
          <w:ilvl w:val="2"/>
          <w:numId w:val="17"/>
        </w:numPr>
        <w:jc w:val="both"/>
      </w:pPr>
      <w:r>
        <w:lastRenderedPageBreak/>
        <w:t xml:space="preserve">Lo anterior muestra la ineficiencia en el uso del espectro radioeléctrico en cuanto al uso de la técnica FDD por sobre TDD y el ancho de banda útil de trabajo. </w:t>
      </w:r>
      <w:r w:rsidR="003F11DC" w:rsidRPr="003F11DC">
        <w:t xml:space="preserve">Cabe señalar que los anchos de banda de portadoras propuestos </w:t>
      </w:r>
      <w:r>
        <w:t>por</w:t>
      </w:r>
      <w:r w:rsidR="00DB1554">
        <w:t xml:space="preserve"> los</w:t>
      </w:r>
      <w:r>
        <w:t xml:space="preserve"> </w:t>
      </w:r>
      <w:r w:rsidR="00DB1554">
        <w:t>fabricantes</w:t>
      </w:r>
      <w:r>
        <w:t xml:space="preserve"> para la banda son múltiplos de 10 desde 10 MHz a 100 MHz</w:t>
      </w:r>
      <w:r w:rsidR="00DB1554">
        <w:t>,</w:t>
      </w:r>
      <w:r>
        <w:t xml:space="preserve"> además de </w:t>
      </w:r>
      <w:r w:rsidR="003F11DC" w:rsidRPr="003F11DC">
        <w:t xml:space="preserve">una portadora </w:t>
      </w:r>
      <w:r>
        <w:t>15 MHz</w:t>
      </w:r>
      <w:r w:rsidR="003F11DC">
        <w:t xml:space="preserve"> </w:t>
      </w:r>
      <w:r w:rsidR="00D83F3B">
        <w:t>por</w:t>
      </w:r>
      <w:r>
        <w:t xml:space="preserve"> lo cual el disponer de 25 MHz en cierta medida dejarían un segmento "ocioso" de 5 MHz al usar portadoras de 20 MHz</w:t>
      </w:r>
      <w:r w:rsidR="00351B83">
        <w:t>.</w:t>
      </w:r>
      <w:r>
        <w:t xml:space="preserve"> </w:t>
      </w:r>
      <w:r w:rsidR="00351B83">
        <w:t>A</w:t>
      </w:r>
      <w:r>
        <w:t>dicionalmente, se presenta el hecho que las portadoras de 20 MHz en el esquema FDD estarían separadas en razón de lo cual exigirían mayor trabajo de procesamiento para efectos de coordinar las emisiones  entre segmentos.</w:t>
      </w:r>
    </w:p>
    <w:p w14:paraId="7CDB1E53" w14:textId="072EEC24" w:rsidR="00BF3582" w:rsidRDefault="00BF3582" w:rsidP="00BF3582">
      <w:pPr>
        <w:spacing w:after="0"/>
        <w:jc w:val="both"/>
      </w:pPr>
    </w:p>
    <w:p w14:paraId="79814C3A" w14:textId="10544A44" w:rsidR="00351B83" w:rsidRDefault="00351B83" w:rsidP="002E4800">
      <w:pPr>
        <w:spacing w:after="0"/>
        <w:jc w:val="both"/>
      </w:pPr>
      <w:r>
        <w:t xml:space="preserve">Por lo mismo, </w:t>
      </w:r>
      <w:r w:rsidR="00E15E25">
        <w:t xml:space="preserve">considerando que </w:t>
      </w:r>
      <w:r>
        <w:t xml:space="preserve">el objetivo de esta Subsecretaría </w:t>
      </w:r>
      <w:r w:rsidR="00E15E25">
        <w:t xml:space="preserve">es propiciar un </w:t>
      </w:r>
      <w:r w:rsidR="00D83F3B">
        <w:t>uso</w:t>
      </w:r>
      <w:r w:rsidR="00E15E25">
        <w:t xml:space="preserve"> eficiente del espectro radioeléctrico, es que se estima necesario </w:t>
      </w:r>
      <w:r>
        <w:t xml:space="preserve">generar un reordenamiento en la banda </w:t>
      </w:r>
      <w:r w:rsidR="00E15E25">
        <w:t xml:space="preserve">que </w:t>
      </w:r>
      <w:r>
        <w:t>pued</w:t>
      </w:r>
      <w:r w:rsidR="00E15E25">
        <w:t>a</w:t>
      </w:r>
      <w:r>
        <w:t xml:space="preserve"> conducir a un aprovechamiento en el uso del espectro, distribuyendo canales con ancho</w:t>
      </w:r>
      <w:r w:rsidR="00E15E25">
        <w:t>s</w:t>
      </w:r>
      <w:r>
        <w:t xml:space="preserve"> de banda acorde</w:t>
      </w:r>
      <w:r w:rsidR="00E15E25">
        <w:t>s</w:t>
      </w:r>
      <w:r>
        <w:t xml:space="preserve"> a la</w:t>
      </w:r>
      <w:r w:rsidR="00E15E25">
        <w:t>s</w:t>
      </w:r>
      <w:r>
        <w:t xml:space="preserve"> nueva</w:t>
      </w:r>
      <w:r w:rsidR="00E15E25">
        <w:t>s</w:t>
      </w:r>
      <w:r>
        <w:t xml:space="preserve"> tecnología</w:t>
      </w:r>
      <w:r w:rsidR="00E15E25">
        <w:t>s</w:t>
      </w:r>
      <w:r w:rsidR="00D83F3B">
        <w:t>,</w:t>
      </w:r>
      <w:r>
        <w:t xml:space="preserve"> además de posibilitar, sujeto a los nuevos límites de espectro, la entrada de otro operador al adicionar 50 MHz del segmento 3,6 - 3,65 GHz.  </w:t>
      </w:r>
    </w:p>
    <w:p w14:paraId="322DFE8D" w14:textId="77777777" w:rsidR="00351B83" w:rsidRDefault="00351B83" w:rsidP="00351B83">
      <w:pPr>
        <w:spacing w:after="0"/>
        <w:jc w:val="both"/>
      </w:pPr>
    </w:p>
    <w:p w14:paraId="279B267C" w14:textId="541E38D4" w:rsidR="00351B83" w:rsidRDefault="00351B83" w:rsidP="00351B83">
      <w:pPr>
        <w:spacing w:after="0"/>
        <w:jc w:val="both"/>
      </w:pPr>
      <w:r>
        <w:t>Para lograr lo anterior, es necesario involucrar a los actuales concesionarios de la banda 3,4 - 3,6 GHz, en el concurso público para otorgar concesiones de servicios públicos y/o intermedios en la banda 3,4 - 3,65 GHz, para efectos de otorgar nuevas concesiones que hagan un uso eficiente de esta.</w:t>
      </w:r>
    </w:p>
    <w:p w14:paraId="2E25D741" w14:textId="77777777" w:rsidR="00351B83" w:rsidRDefault="00351B83" w:rsidP="00BF3582">
      <w:pPr>
        <w:spacing w:after="0"/>
        <w:jc w:val="both"/>
      </w:pPr>
    </w:p>
    <w:p w14:paraId="0D4D3C75" w14:textId="1B576106" w:rsidR="00002230" w:rsidRDefault="00BF3582" w:rsidP="00BF3582">
      <w:pPr>
        <w:spacing w:after="0"/>
        <w:jc w:val="both"/>
      </w:pPr>
      <w:r>
        <w:t xml:space="preserve">Como solución de lo anterior, </w:t>
      </w:r>
      <w:r w:rsidR="00351B83">
        <w:t>esta Subsecretaría</w:t>
      </w:r>
      <w:r>
        <w:t xml:space="preserve"> propone invitar a participar a los actuales concesionarios de la </w:t>
      </w:r>
      <w:r w:rsidR="00351B83">
        <w:t>referida sub-</w:t>
      </w:r>
      <w:r>
        <w:t xml:space="preserve">banda, estableciendo </w:t>
      </w:r>
      <w:r w:rsidR="00351B83">
        <w:t xml:space="preserve">que se realizará </w:t>
      </w:r>
      <w:r>
        <w:t xml:space="preserve">un reconocimiento del espectro </w:t>
      </w:r>
      <w:r w:rsidR="00002230">
        <w:t xml:space="preserve">que </w:t>
      </w:r>
      <w:r w:rsidR="00E15E25">
        <w:t>sea puesto</w:t>
      </w:r>
      <w:r w:rsidR="00002230">
        <w:t xml:space="preserve"> </w:t>
      </w:r>
      <w:r w:rsidR="00D83F3B">
        <w:t xml:space="preserve">por ellas </w:t>
      </w:r>
      <w:r w:rsidR="00002230">
        <w:t>a disposición del concurso. De este modo, se logrará, no sólo aumentar el espectro disponible para licitar de 50 MHZ a hasta 250 MHZ, sino que también permitirá que los bloques de frecuencias asignados se ordenen de modo tal que permita el uso más eficiente del espectro.</w:t>
      </w:r>
    </w:p>
    <w:p w14:paraId="54D3C9FE" w14:textId="60D4556E" w:rsidR="00002230" w:rsidRDefault="00002230" w:rsidP="00BF3582">
      <w:pPr>
        <w:spacing w:after="0"/>
        <w:jc w:val="both"/>
      </w:pPr>
    </w:p>
    <w:p w14:paraId="5C6BC134" w14:textId="384AB8E7" w:rsidR="00C51413" w:rsidRDefault="00002230" w:rsidP="00BF3582">
      <w:pPr>
        <w:spacing w:after="0"/>
        <w:jc w:val="both"/>
      </w:pPr>
      <w:r>
        <w:t xml:space="preserve">Finalmente, en relación con el reconocimiento, éste </w:t>
      </w:r>
      <w:r w:rsidR="00BF3582" w:rsidRPr="002A106D">
        <w:t>podrá considerar variables como la cobertura geográfica del espectro</w:t>
      </w:r>
      <w:r w:rsidR="00BF3582">
        <w:t xml:space="preserve"> radioeléctrico</w:t>
      </w:r>
      <w:r w:rsidR="00BF3582" w:rsidRPr="002A106D">
        <w:t>, la cobertura del servicio en términos relativos a la población que los utiliza, el tiempo remanente de la concesión vigente, entre otras.</w:t>
      </w:r>
    </w:p>
    <w:p w14:paraId="746CC02D" w14:textId="51A7EA04" w:rsidR="00351B83" w:rsidRDefault="00351B83" w:rsidP="00BF3582">
      <w:pPr>
        <w:spacing w:after="0"/>
        <w:jc w:val="both"/>
      </w:pPr>
    </w:p>
    <w:p w14:paraId="31C96C74" w14:textId="77777777" w:rsidR="00351B83" w:rsidRDefault="00351B83" w:rsidP="00BF3582">
      <w:pPr>
        <w:spacing w:after="0"/>
        <w:jc w:val="both"/>
      </w:pPr>
    </w:p>
    <w:p w14:paraId="1CC921FE" w14:textId="2E3288F3" w:rsidR="00D91B99" w:rsidRPr="000516DB" w:rsidRDefault="00CE717E" w:rsidP="00CE717E">
      <w:pPr>
        <w:pStyle w:val="Ttulo2"/>
        <w:keepLines w:val="0"/>
        <w:numPr>
          <w:ilvl w:val="0"/>
          <w:numId w:val="8"/>
        </w:numPr>
        <w:jc w:val="both"/>
        <w:rPr>
          <w:b/>
        </w:rPr>
      </w:pPr>
      <w:r>
        <w:rPr>
          <w:b/>
        </w:rPr>
        <w:t>Consulta</w:t>
      </w:r>
      <w:r w:rsidR="00910594">
        <w:rPr>
          <w:b/>
        </w:rPr>
        <w:t>s</w:t>
      </w:r>
    </w:p>
    <w:p w14:paraId="6B29DBA5" w14:textId="77777777" w:rsidR="000516DB" w:rsidRPr="000516DB" w:rsidRDefault="000516DB" w:rsidP="000516DB"/>
    <w:p w14:paraId="3EA9F5C8" w14:textId="77777777" w:rsidR="00CE7636" w:rsidRDefault="008C7313" w:rsidP="000D0529">
      <w:pPr>
        <w:jc w:val="both"/>
      </w:pPr>
      <w:r>
        <w:t xml:space="preserve">La Subsecretaría </w:t>
      </w:r>
      <w:r w:rsidR="008623D7">
        <w:t xml:space="preserve">de Telecomunicaciones </w:t>
      </w:r>
      <w:r w:rsidR="00E07196">
        <w:t>no só</w:t>
      </w:r>
      <w:r>
        <w:t xml:space="preserve">lo debe velar por el aspecto tecnológico, sino que además debe </w:t>
      </w:r>
      <w:r w:rsidR="00647C0B">
        <w:t>incentivar</w:t>
      </w:r>
      <w:r>
        <w:t xml:space="preserve"> la competencia en el mercado</w:t>
      </w:r>
      <w:r w:rsidR="00647C0B">
        <w:t xml:space="preserve"> de las telecomunicaciones</w:t>
      </w:r>
      <w:r>
        <w:t>, la eficiencia</w:t>
      </w:r>
      <w:r w:rsidR="00751FA3">
        <w:t xml:space="preserve"> en el uso</w:t>
      </w:r>
      <w:r>
        <w:t xml:space="preserve"> de un recurso escaso como </w:t>
      </w:r>
      <w:r w:rsidR="00647C0B">
        <w:t xml:space="preserve">es </w:t>
      </w:r>
      <w:r>
        <w:t>el espectro</w:t>
      </w:r>
      <w:r w:rsidR="0030016E">
        <w:t xml:space="preserve"> radioeléctrico</w:t>
      </w:r>
      <w:r w:rsidR="00E04A4B">
        <w:t>, la transparencia</w:t>
      </w:r>
      <w:r>
        <w:t xml:space="preserve"> y la calidad de los servicios</w:t>
      </w:r>
      <w:r w:rsidR="00647C0B">
        <w:t xml:space="preserve"> ofrecidos al público en general</w:t>
      </w:r>
      <w:r>
        <w:t xml:space="preserve">, sin discriminación arbitraria. </w:t>
      </w:r>
    </w:p>
    <w:p w14:paraId="1DC22AEE" w14:textId="0ACECD82" w:rsidR="00B6527B" w:rsidRDefault="008623D7" w:rsidP="00A91CEA">
      <w:pPr>
        <w:spacing w:after="0"/>
        <w:jc w:val="both"/>
      </w:pPr>
      <w:r>
        <w:t xml:space="preserve">Teniendo en vista tales aspectos, en </w:t>
      </w:r>
      <w:r w:rsidR="00751FA3">
        <w:t xml:space="preserve">concordancia </w:t>
      </w:r>
      <w:r>
        <w:t>con los principios enunciados en la introducción del presente documento</w:t>
      </w:r>
      <w:r w:rsidR="00647765">
        <w:t xml:space="preserve">, para el próximo concurso de </w:t>
      </w:r>
      <w:r w:rsidR="00647C0B">
        <w:t>otorgamiento de frecuencias</w:t>
      </w:r>
      <w:r w:rsidR="00647765">
        <w:t xml:space="preserve"> se desea que haya alta concurrencia de participantes, para así poder elegir el mejor proyecto técnico, y </w:t>
      </w:r>
      <w:r w:rsidR="00CE7636">
        <w:t xml:space="preserve">que asegure calidad permanente. </w:t>
      </w:r>
      <w:r w:rsidR="00643732">
        <w:t>En tal marco</w:t>
      </w:r>
      <w:r w:rsidR="00634AF1">
        <w:t xml:space="preserve">, y </w:t>
      </w:r>
      <w:r w:rsidR="00634AF1" w:rsidRPr="00634AF1">
        <w:t>sin perjuicio de eventuales nuevas consultas ciudadanas</w:t>
      </w:r>
      <w:r w:rsidR="00634AF1">
        <w:t xml:space="preserve"> sobre la materia, </w:t>
      </w:r>
      <w:r w:rsidR="00647765">
        <w:t xml:space="preserve">se solicita </w:t>
      </w:r>
      <w:r w:rsidR="00634AF1">
        <w:t xml:space="preserve">-en esta etapa- </w:t>
      </w:r>
      <w:r>
        <w:t xml:space="preserve">su retroalimentación </w:t>
      </w:r>
      <w:r w:rsidR="00634AF1">
        <w:t xml:space="preserve">acerca </w:t>
      </w:r>
      <w:r w:rsidR="00647765">
        <w:t>de</w:t>
      </w:r>
      <w:r>
        <w:t xml:space="preserve"> los siguientes aspectos</w:t>
      </w:r>
      <w:r w:rsidR="00634AF1">
        <w:t xml:space="preserve">: </w:t>
      </w:r>
    </w:p>
    <w:p w14:paraId="3490914E" w14:textId="77777777" w:rsidR="00A91CEA" w:rsidRDefault="00A91CEA" w:rsidP="00A91CEA">
      <w:pPr>
        <w:spacing w:after="0"/>
        <w:jc w:val="both"/>
      </w:pPr>
    </w:p>
    <w:p w14:paraId="032713F5" w14:textId="5101B09B" w:rsidR="007052FC" w:rsidRDefault="005A298A" w:rsidP="00A91CEA">
      <w:pPr>
        <w:pStyle w:val="Ttulo3"/>
        <w:numPr>
          <w:ilvl w:val="0"/>
          <w:numId w:val="9"/>
        </w:numPr>
        <w:spacing w:after="0"/>
      </w:pPr>
      <w:r>
        <w:lastRenderedPageBreak/>
        <w:t>Sobre la excelencia del servicio</w:t>
      </w:r>
      <w:r w:rsidR="00910594">
        <w:t>:</w:t>
      </w:r>
    </w:p>
    <w:p w14:paraId="414C89A1" w14:textId="77777777" w:rsidR="00A91CEA" w:rsidRPr="00A91CEA" w:rsidRDefault="00A91CEA" w:rsidP="00A91CEA"/>
    <w:p w14:paraId="0D354AE4" w14:textId="75BDAA94" w:rsidR="0071106C" w:rsidRPr="00184634" w:rsidRDefault="004037A7" w:rsidP="004037A7">
      <w:pPr>
        <w:jc w:val="both"/>
      </w:pPr>
      <w:r w:rsidRPr="00184634">
        <w:t>Para la elaboración del proyecto técnico</w:t>
      </w:r>
      <w:r w:rsidR="00D500BE" w:rsidRPr="00184634">
        <w:t>,</w:t>
      </w:r>
      <w:r w:rsidRPr="00184634">
        <w:t xml:space="preserve"> las ofertas técnicas deben considerar parámetros que den cuenta de la excelencia del servicio y que permitan evaluar y comp</w:t>
      </w:r>
      <w:r w:rsidR="006A1A80" w:rsidRPr="00184634">
        <w:t>arar</w:t>
      </w:r>
      <w:r w:rsidRPr="00184634">
        <w:t xml:space="preserve"> las distintas ofertas. La principal </w:t>
      </w:r>
      <w:r w:rsidR="00D500BE" w:rsidRPr="00184634">
        <w:t xml:space="preserve">característica </w:t>
      </w:r>
      <w:r w:rsidRPr="00184634">
        <w:t>corresponde al cálculo de cobertura por etapas. En relación al cálculo de cobertura y en general al proyecto técnico específico</w:t>
      </w:r>
      <w:r w:rsidR="003B5D5F">
        <w:t xml:space="preserve"> para cada banda:</w:t>
      </w:r>
    </w:p>
    <w:p w14:paraId="38D460D3" w14:textId="7BA8BF0C" w:rsidR="00B6527B" w:rsidRDefault="00B6527B" w:rsidP="00B6527B">
      <w:pPr>
        <w:pStyle w:val="Prrafodelista"/>
        <w:numPr>
          <w:ilvl w:val="0"/>
          <w:numId w:val="1"/>
        </w:numPr>
        <w:jc w:val="both"/>
      </w:pPr>
      <w:r>
        <w:t xml:space="preserve">Atendidas las </w:t>
      </w:r>
      <w:r w:rsidR="00AD0847">
        <w:t xml:space="preserve">velocidades y </w:t>
      </w:r>
      <w:r>
        <w:t>coberturas expuestas en las tablas N°s 1 y 2, se le solicita opinar sobre este punto, en lo relativo a las bandas 700 MHz, AWS y 3.5 GHz.</w:t>
      </w:r>
    </w:p>
    <w:p w14:paraId="35648EE1" w14:textId="469358CA" w:rsidR="002B5375" w:rsidRDefault="00B6527B" w:rsidP="00B6527B">
      <w:pPr>
        <w:pStyle w:val="Prrafodelista"/>
        <w:jc w:val="both"/>
      </w:pPr>
      <w:r>
        <w:t xml:space="preserve"> </w:t>
      </w:r>
    </w:p>
    <w:p w14:paraId="6DC8A7B4" w14:textId="5750319D" w:rsidR="00C916D8" w:rsidRDefault="006E1747" w:rsidP="007C0796">
      <w:pPr>
        <w:pStyle w:val="Prrafodelista"/>
        <w:numPr>
          <w:ilvl w:val="0"/>
          <w:numId w:val="1"/>
        </w:numPr>
        <w:spacing w:after="240"/>
        <w:ind w:left="714" w:hanging="357"/>
        <w:contextualSpacing w:val="0"/>
        <w:jc w:val="both"/>
      </w:pPr>
      <w:r w:rsidRPr="00184634">
        <w:t xml:space="preserve">En consideración a la baja cobertura de bandas milimétricas, </w:t>
      </w:r>
      <w:r w:rsidR="00974917" w:rsidRPr="00184634">
        <w:t>¿</w:t>
      </w:r>
      <w:r w:rsidR="00DB1554">
        <w:t>q</w:t>
      </w:r>
      <w:r w:rsidR="00974917" w:rsidRPr="00184634">
        <w:t>ué criterio</w:t>
      </w:r>
      <w:r w:rsidR="00B6527B">
        <w:t>(s)</w:t>
      </w:r>
      <w:r w:rsidR="00974917" w:rsidRPr="00184634">
        <w:t xml:space="preserve"> </w:t>
      </w:r>
      <w:r w:rsidRPr="00184634">
        <w:t>considera adecuado</w:t>
      </w:r>
      <w:r w:rsidR="00B6527B">
        <w:t>(s)</w:t>
      </w:r>
      <w:r w:rsidRPr="00184634">
        <w:t xml:space="preserve"> para evaluar </w:t>
      </w:r>
      <w:r w:rsidR="00B6527B">
        <w:t>los aspectos de velocidad</w:t>
      </w:r>
      <w:r w:rsidR="00DB1554">
        <w:t xml:space="preserve"> y</w:t>
      </w:r>
      <w:r w:rsidRPr="00184634">
        <w:t xml:space="preserve"> </w:t>
      </w:r>
      <w:r w:rsidR="00DB1554">
        <w:t>cobertura</w:t>
      </w:r>
      <w:r w:rsidR="00DB1554" w:rsidRPr="00184634">
        <w:t xml:space="preserve"> </w:t>
      </w:r>
      <w:r w:rsidRPr="00184634">
        <w:t>en la banda de 28 GHz?</w:t>
      </w:r>
    </w:p>
    <w:p w14:paraId="1947C3A4" w14:textId="128030DD" w:rsidR="00120D7E" w:rsidRDefault="00AC7206" w:rsidP="00A91CEA">
      <w:pPr>
        <w:pStyle w:val="Prrafodelista"/>
        <w:numPr>
          <w:ilvl w:val="0"/>
          <w:numId w:val="1"/>
        </w:numPr>
        <w:spacing w:after="0"/>
        <w:ind w:left="714" w:hanging="357"/>
        <w:contextualSpacing w:val="0"/>
        <w:jc w:val="both"/>
      </w:pPr>
      <w:r>
        <w:t>Atendido que l</w:t>
      </w:r>
      <w:r w:rsidR="00120D7E" w:rsidRPr="00120D7E">
        <w:t xml:space="preserve">a cobertura de los proyectos técnicos </w:t>
      </w:r>
      <w:r w:rsidR="00120D7E">
        <w:t>se e</w:t>
      </w:r>
      <w:r w:rsidR="003B5D5F">
        <w:t>ncuentra</w:t>
      </w:r>
      <w:r w:rsidR="00120D7E">
        <w:t xml:space="preserve"> cautelada con la exigencia de un</w:t>
      </w:r>
      <w:r w:rsidR="00120D7E" w:rsidRPr="00120D7E">
        <w:t xml:space="preserve"> mínimo de velocidad de su</w:t>
      </w:r>
      <w:r>
        <w:t>bida y de bajada, en cada banda, se le solicita opinar sobre este punto.</w:t>
      </w:r>
      <w:r w:rsidR="00120D7E">
        <w:t xml:space="preserve"> </w:t>
      </w:r>
    </w:p>
    <w:p w14:paraId="30C18E9A" w14:textId="77777777" w:rsidR="00A91CEA" w:rsidRPr="00184634" w:rsidRDefault="00A91CEA" w:rsidP="00A91CEA">
      <w:pPr>
        <w:pStyle w:val="Prrafodelista"/>
        <w:spacing w:after="0"/>
        <w:ind w:left="714"/>
        <w:contextualSpacing w:val="0"/>
        <w:jc w:val="both"/>
      </w:pPr>
    </w:p>
    <w:p w14:paraId="0CE92579" w14:textId="107AAB12" w:rsidR="00C901DE" w:rsidRDefault="00910594" w:rsidP="00A91CEA">
      <w:pPr>
        <w:pStyle w:val="Prrafodelista"/>
        <w:numPr>
          <w:ilvl w:val="0"/>
          <w:numId w:val="9"/>
        </w:numPr>
        <w:spacing w:after="0"/>
        <w:jc w:val="both"/>
        <w:rPr>
          <w:b/>
          <w:i/>
        </w:rPr>
      </w:pPr>
      <w:r w:rsidRPr="00910594">
        <w:rPr>
          <w:b/>
          <w:i/>
        </w:rPr>
        <w:t>Sobre aspectos</w:t>
      </w:r>
      <w:r w:rsidR="004B1110" w:rsidRPr="00910594">
        <w:rPr>
          <w:b/>
          <w:i/>
        </w:rPr>
        <w:t xml:space="preserve"> relacionados con ciberseguridad</w:t>
      </w:r>
      <w:r w:rsidRPr="00910594">
        <w:rPr>
          <w:b/>
          <w:i/>
        </w:rPr>
        <w:t>:</w:t>
      </w:r>
    </w:p>
    <w:p w14:paraId="3048B8A9" w14:textId="77777777" w:rsidR="00A91CEA" w:rsidRPr="00910594" w:rsidRDefault="00A91CEA" w:rsidP="00A91CEA">
      <w:pPr>
        <w:pStyle w:val="Prrafodelista"/>
        <w:ind w:left="360"/>
        <w:jc w:val="both"/>
        <w:rPr>
          <w:b/>
          <w:i/>
        </w:rPr>
      </w:pPr>
    </w:p>
    <w:p w14:paraId="674F47DB" w14:textId="320181F4" w:rsidR="00C901DE" w:rsidRPr="00184634" w:rsidRDefault="007A34DC" w:rsidP="004B1110">
      <w:pPr>
        <w:jc w:val="both"/>
      </w:pPr>
      <w:r w:rsidRPr="00184634">
        <w:t xml:space="preserve">La </w:t>
      </w:r>
      <w:r w:rsidR="004B3735" w:rsidRPr="00184634">
        <w:t>Política</w:t>
      </w:r>
      <w:r w:rsidR="00DB1554">
        <w:t xml:space="preserve"> Nacional de c</w:t>
      </w:r>
      <w:r w:rsidRPr="00184634">
        <w:t>iberseguridad tiene por objetivo el diseño, implementación y puesta en marc</w:t>
      </w:r>
      <w:r w:rsidR="004B3735" w:rsidRPr="00184634">
        <w:t>h</w:t>
      </w:r>
      <w:r w:rsidRPr="00184634">
        <w:t xml:space="preserve">a de medidas que permitan </w:t>
      </w:r>
      <w:r w:rsidR="004B3735" w:rsidRPr="00184634">
        <w:t>proteger la seguridad y la libertad de los usuarios del ciberespacio, reafirmando el compromiso nacional de promover un ciberespacio libre, abierto, democrático y seguro</w:t>
      </w:r>
      <w:r w:rsidR="004B3735" w:rsidRPr="00184634">
        <w:rPr>
          <w:rStyle w:val="Refdenotaalpie"/>
        </w:rPr>
        <w:footnoteReference w:id="3"/>
      </w:r>
      <w:r w:rsidR="004B3735" w:rsidRPr="00184634">
        <w:t>. En este sentido se plantean las siguientes consultas:</w:t>
      </w:r>
    </w:p>
    <w:p w14:paraId="753C0390" w14:textId="6A3B6D2B" w:rsidR="004B1110" w:rsidRPr="00184634" w:rsidRDefault="004B1110" w:rsidP="004B1110">
      <w:pPr>
        <w:pStyle w:val="Prrafodelista"/>
        <w:numPr>
          <w:ilvl w:val="0"/>
          <w:numId w:val="1"/>
        </w:numPr>
        <w:spacing w:after="240"/>
        <w:ind w:left="714" w:hanging="357"/>
        <w:contextualSpacing w:val="0"/>
        <w:jc w:val="both"/>
      </w:pPr>
      <w:r w:rsidRPr="00184634">
        <w:t>¿</w:t>
      </w:r>
      <w:r w:rsidR="00B516FB" w:rsidRPr="00184634">
        <w:t>Qué</w:t>
      </w:r>
      <w:r w:rsidRPr="00184634">
        <w:t xml:space="preserve"> aspecto</w:t>
      </w:r>
      <w:r w:rsidR="009C19E6" w:rsidRPr="00184634">
        <w:t>(s)</w:t>
      </w:r>
      <w:r w:rsidRPr="00184634">
        <w:t xml:space="preserve"> considera relevante</w:t>
      </w:r>
      <w:r w:rsidR="009C19E6" w:rsidRPr="00184634">
        <w:t>(s)</w:t>
      </w:r>
      <w:r w:rsidRPr="00184634">
        <w:t xml:space="preserve"> para ser tratado</w:t>
      </w:r>
      <w:r w:rsidR="009C19E6" w:rsidRPr="00184634">
        <w:t>(</w:t>
      </w:r>
      <w:r w:rsidRPr="00184634">
        <w:t>s</w:t>
      </w:r>
      <w:r w:rsidR="009C19E6" w:rsidRPr="00184634">
        <w:t>)</w:t>
      </w:r>
      <w:r w:rsidRPr="00184634">
        <w:t xml:space="preserve"> en materia de ciberseguridad?</w:t>
      </w:r>
    </w:p>
    <w:p w14:paraId="1A618F45" w14:textId="77777777" w:rsidR="004B1110" w:rsidRPr="00184634" w:rsidRDefault="004B1110" w:rsidP="004B1110">
      <w:pPr>
        <w:pStyle w:val="Prrafodelista"/>
        <w:numPr>
          <w:ilvl w:val="0"/>
          <w:numId w:val="1"/>
        </w:numPr>
        <w:spacing w:after="240"/>
        <w:ind w:left="714" w:hanging="357"/>
        <w:contextualSpacing w:val="0"/>
        <w:jc w:val="both"/>
      </w:pPr>
      <w:r w:rsidRPr="00184634">
        <w:t>¿Qué condiciones específicas considera relevantes para la protección de IoT?</w:t>
      </w:r>
    </w:p>
    <w:p w14:paraId="2BC20988" w14:textId="343DB29F" w:rsidR="004B1110" w:rsidRPr="00184634" w:rsidRDefault="004B1110" w:rsidP="004B1110">
      <w:pPr>
        <w:pStyle w:val="Prrafodelista"/>
        <w:numPr>
          <w:ilvl w:val="0"/>
          <w:numId w:val="1"/>
        </w:numPr>
        <w:spacing w:after="240"/>
        <w:ind w:left="714" w:hanging="357"/>
        <w:contextualSpacing w:val="0"/>
        <w:jc w:val="both"/>
      </w:pPr>
      <w:r w:rsidRPr="00184634">
        <w:t>¿</w:t>
      </w:r>
      <w:r w:rsidR="00C901DE" w:rsidRPr="00184634">
        <w:t>Qué puntos considera importantes en materia de protección de datos personales, en relación con la tecnología 5G?</w:t>
      </w:r>
    </w:p>
    <w:p w14:paraId="6C69D8E8" w14:textId="72BB0D80" w:rsidR="00C901DE" w:rsidRDefault="00C901DE" w:rsidP="00184634">
      <w:pPr>
        <w:pStyle w:val="Prrafodelista"/>
        <w:numPr>
          <w:ilvl w:val="0"/>
          <w:numId w:val="1"/>
        </w:numPr>
        <w:spacing w:after="240"/>
        <w:jc w:val="both"/>
      </w:pPr>
      <w:r w:rsidRPr="00184634">
        <w:t>¿En qué sectores o actividades cree que los riesgos sobre la seguridad de la información pueden suponer un mayor freno para el proceso de transformación digital?</w:t>
      </w:r>
      <w:r w:rsidR="00184634" w:rsidRPr="004B1110">
        <w:t xml:space="preserve"> </w:t>
      </w:r>
    </w:p>
    <w:p w14:paraId="1DBF93B5" w14:textId="77777777" w:rsidR="00CE7636" w:rsidRDefault="00CE7636" w:rsidP="00CE7636">
      <w:pPr>
        <w:pStyle w:val="Prrafodelista"/>
        <w:spacing w:after="240"/>
        <w:jc w:val="both"/>
      </w:pPr>
    </w:p>
    <w:p w14:paraId="1F465BD1" w14:textId="53B47930" w:rsidR="00CE7636" w:rsidRPr="004B1110" w:rsidRDefault="00CE7636" w:rsidP="00184634">
      <w:pPr>
        <w:pStyle w:val="Prrafodelista"/>
        <w:numPr>
          <w:ilvl w:val="0"/>
          <w:numId w:val="1"/>
        </w:numPr>
        <w:spacing w:after="240"/>
        <w:jc w:val="both"/>
      </w:pPr>
      <w:r>
        <w:t>¿De qué manera debería implementarse la ciberseguridad a nivel de interfaz de radio e infraestructura de red?</w:t>
      </w:r>
    </w:p>
    <w:sectPr w:rsidR="00CE7636" w:rsidRPr="004B1110" w:rsidSect="002E4800">
      <w:footerReference w:type="default" r:id="rId9"/>
      <w:pgSz w:w="12240" w:h="15840" w:code="1"/>
      <w:pgMar w:top="709"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D0565D" w15:done="0"/>
  <w15:commentEx w15:paraId="79FE9E53" w15:done="0"/>
  <w15:commentEx w15:paraId="7E392D10" w15:done="0"/>
  <w15:commentEx w15:paraId="20A8F9CF" w15:done="0"/>
  <w15:commentEx w15:paraId="4E7E7307" w15:done="0"/>
  <w15:commentEx w15:paraId="525819E7" w15:done="0"/>
  <w15:commentEx w15:paraId="7D5411E4" w15:done="0"/>
  <w15:commentEx w15:paraId="655F7B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5A67A" w14:textId="77777777" w:rsidR="00EB34F4" w:rsidRDefault="00EB34F4" w:rsidP="00F42C0A">
      <w:pPr>
        <w:spacing w:after="0" w:line="240" w:lineRule="auto"/>
      </w:pPr>
      <w:r>
        <w:separator/>
      </w:r>
    </w:p>
  </w:endnote>
  <w:endnote w:type="continuationSeparator" w:id="0">
    <w:p w14:paraId="05DEC281" w14:textId="77777777" w:rsidR="00EB34F4" w:rsidRDefault="00EB34F4" w:rsidP="00F4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27171"/>
      <w:docPartObj>
        <w:docPartGallery w:val="Page Numbers (Bottom of Page)"/>
        <w:docPartUnique/>
      </w:docPartObj>
    </w:sdtPr>
    <w:sdtEndPr/>
    <w:sdtContent>
      <w:p w14:paraId="604BCD96" w14:textId="6CB4E417" w:rsidR="005A298A" w:rsidRDefault="005A298A">
        <w:pPr>
          <w:pStyle w:val="Piedepgina"/>
          <w:jc w:val="right"/>
        </w:pPr>
        <w:r>
          <w:fldChar w:fldCharType="begin"/>
        </w:r>
        <w:r>
          <w:instrText>PAGE   \* MERGEFORMAT</w:instrText>
        </w:r>
        <w:r>
          <w:fldChar w:fldCharType="separate"/>
        </w:r>
        <w:r w:rsidR="00702E64">
          <w:rPr>
            <w:noProof/>
          </w:rPr>
          <w:t>3</w:t>
        </w:r>
        <w:r>
          <w:fldChar w:fldCharType="end"/>
        </w:r>
      </w:p>
    </w:sdtContent>
  </w:sdt>
  <w:p w14:paraId="78C68907" w14:textId="77777777" w:rsidR="004B3735" w:rsidRDefault="004B37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C0D5B" w14:textId="77777777" w:rsidR="00EB34F4" w:rsidRDefault="00EB34F4" w:rsidP="00F42C0A">
      <w:pPr>
        <w:spacing w:after="0" w:line="240" w:lineRule="auto"/>
      </w:pPr>
      <w:r>
        <w:separator/>
      </w:r>
    </w:p>
  </w:footnote>
  <w:footnote w:type="continuationSeparator" w:id="0">
    <w:p w14:paraId="27D341B1" w14:textId="77777777" w:rsidR="00EB34F4" w:rsidRDefault="00EB34F4" w:rsidP="00F42C0A">
      <w:pPr>
        <w:spacing w:after="0" w:line="240" w:lineRule="auto"/>
      </w:pPr>
      <w:r>
        <w:continuationSeparator/>
      </w:r>
    </w:p>
  </w:footnote>
  <w:footnote w:id="1">
    <w:p w14:paraId="0F8DA74C" w14:textId="5A08C08D" w:rsidR="00A304CE" w:rsidRPr="00A304CE" w:rsidRDefault="00A304CE" w:rsidP="00FA7005">
      <w:pPr>
        <w:pStyle w:val="Textonotapie"/>
        <w:jc w:val="both"/>
      </w:pPr>
      <w:r>
        <w:rPr>
          <w:rStyle w:val="Refdenotaalpie"/>
        </w:rPr>
        <w:footnoteRef/>
      </w:r>
      <w:r>
        <w:t xml:space="preserve"> Se podrán concursar nuevas</w:t>
      </w:r>
      <w:r w:rsidRPr="005310CA">
        <w:t xml:space="preserve"> bandas, o </w:t>
      </w:r>
      <w:r>
        <w:t xml:space="preserve">más </w:t>
      </w:r>
      <w:r w:rsidRPr="005310CA">
        <w:t xml:space="preserve">espectro dentro de éstas, en la medida que se </w:t>
      </w:r>
      <w:r>
        <w:t>vayan disponibilizando</w:t>
      </w:r>
      <w:r w:rsidR="00D607CA">
        <w:t xml:space="preserve"> ya sea por bandas armonizadas definidas en ámbito de la UIT en lo particular la Conferencia Mundial de Radiocomunicaciones a desarrollarse en noviembre de 2019, disponibilidades de equipos</w:t>
      </w:r>
      <w:r w:rsidR="00D607CA" w:rsidRPr="00D607CA">
        <w:t xml:space="preserve"> </w:t>
      </w:r>
      <w:r w:rsidR="00D607CA">
        <w:t>o propuestas de los fabricantes</w:t>
      </w:r>
      <w:r>
        <w:t>.</w:t>
      </w:r>
    </w:p>
  </w:footnote>
  <w:footnote w:id="2">
    <w:p w14:paraId="7CCFEBE6" w14:textId="6C3C8C2F" w:rsidR="003B5D5F" w:rsidRPr="003B5D5F" w:rsidRDefault="003B5D5F" w:rsidP="003B5D5F">
      <w:pPr>
        <w:pStyle w:val="Textonotapie"/>
        <w:jc w:val="both"/>
        <w:rPr>
          <w:lang w:val="es-CL"/>
        </w:rPr>
      </w:pPr>
      <w:r w:rsidRPr="003B5D5F">
        <w:rPr>
          <w:rStyle w:val="Refdenotaalpie"/>
          <w:sz w:val="18"/>
        </w:rPr>
        <w:footnoteRef/>
      </w:r>
      <w:r w:rsidRPr="003B5D5F">
        <w:rPr>
          <w:sz w:val="18"/>
        </w:rPr>
        <w:t xml:space="preserve"> </w:t>
      </w:r>
      <w:r>
        <w:rPr>
          <w:sz w:val="18"/>
        </w:rPr>
        <w:t xml:space="preserve">A modo de ejemplo, la </w:t>
      </w:r>
      <w:r w:rsidRPr="003B5D5F">
        <w:rPr>
          <w:sz w:val="18"/>
          <w:lang w:val="es-CL"/>
        </w:rPr>
        <w:t>Resolución N°6, de 19 de diciembre 2018, de la Subsecretaría de Telecomunicaciones, “Aprobación de Bases Especificas del Concurso Publico Fibra Óptica Austral, Troncales Terrestres Aysén y Los Lagos, código: FDT-2018-02”.</w:t>
      </w:r>
    </w:p>
  </w:footnote>
  <w:footnote w:id="3">
    <w:p w14:paraId="354A0913" w14:textId="6026997F" w:rsidR="004B3735" w:rsidRDefault="004B3735">
      <w:pPr>
        <w:pStyle w:val="Textonotapie"/>
      </w:pPr>
      <w:r>
        <w:rPr>
          <w:rStyle w:val="Refdenotaalpie"/>
        </w:rPr>
        <w:footnoteRef/>
      </w:r>
      <w:r>
        <w:t xml:space="preserve"> </w:t>
      </w:r>
      <w:r w:rsidR="00AD0847">
        <w:t xml:space="preserve">Fuente: </w:t>
      </w:r>
      <w:r>
        <w:t>https://www.ciberseguridad.gob.cl/objetivos/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6C63"/>
    <w:multiLevelType w:val="hybridMultilevel"/>
    <w:tmpl w:val="EF3EBB4A"/>
    <w:lvl w:ilvl="0" w:tplc="C0224E1C">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2F07211"/>
    <w:multiLevelType w:val="hybridMultilevel"/>
    <w:tmpl w:val="DDBAC1BA"/>
    <w:lvl w:ilvl="0" w:tplc="DE70FB00">
      <w:start w:val="3"/>
      <w:numFmt w:val="bullet"/>
      <w:lvlText w:val=""/>
      <w:lvlJc w:val="left"/>
      <w:pPr>
        <w:ind w:left="1080" w:hanging="360"/>
      </w:pPr>
      <w:rPr>
        <w:rFonts w:ascii="Symbol" w:eastAsiaTheme="minorHAnsi"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04C34D23"/>
    <w:multiLevelType w:val="hybridMultilevel"/>
    <w:tmpl w:val="D3E8E8F2"/>
    <w:lvl w:ilvl="0" w:tplc="99AE320A">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3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B5120D"/>
    <w:multiLevelType w:val="hybridMultilevel"/>
    <w:tmpl w:val="F3162C8A"/>
    <w:lvl w:ilvl="0" w:tplc="340A001B">
      <w:start w:val="1"/>
      <w:numFmt w:val="lowerRoman"/>
      <w:lvlText w:val="%1."/>
      <w:lvlJc w:val="right"/>
      <w:pPr>
        <w:ind w:left="720" w:hanging="360"/>
      </w:pPr>
    </w:lvl>
    <w:lvl w:ilvl="1" w:tplc="9DF0A492">
      <w:start w:val="1"/>
      <w:numFmt w:val="lowerLetter"/>
      <w:lvlText w:val="%2)"/>
      <w:lvlJc w:val="left"/>
      <w:pPr>
        <w:ind w:left="1440" w:hanging="360"/>
      </w:pPr>
      <w:rPr>
        <w:rFonts w:hint="default"/>
      </w:rPr>
    </w:lvl>
    <w:lvl w:ilvl="2" w:tplc="EF5C1F1A">
      <w:numFmt w:val="bullet"/>
      <w:lvlText w:val="-"/>
      <w:lvlJc w:val="left"/>
      <w:pPr>
        <w:ind w:left="2340" w:hanging="360"/>
      </w:pPr>
      <w:rPr>
        <w:rFonts w:ascii="Calibri" w:eastAsiaTheme="minorHAnsi" w:hAnsi="Calibri" w:cs="Calibri"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6C47091"/>
    <w:multiLevelType w:val="hybridMultilevel"/>
    <w:tmpl w:val="6EE23B58"/>
    <w:lvl w:ilvl="0" w:tplc="13F28D02">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2C8356DE"/>
    <w:multiLevelType w:val="hybridMultilevel"/>
    <w:tmpl w:val="24AAE1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5E303AA"/>
    <w:multiLevelType w:val="hybridMultilevel"/>
    <w:tmpl w:val="8CB6C494"/>
    <w:lvl w:ilvl="0" w:tplc="9DF0A49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CF6058"/>
    <w:multiLevelType w:val="hybridMultilevel"/>
    <w:tmpl w:val="FE1869D2"/>
    <w:lvl w:ilvl="0" w:tplc="24BEDF4C">
      <w:start w:val="5"/>
      <w:numFmt w:val="bullet"/>
      <w:lvlText w:val="-"/>
      <w:lvlJc w:val="left"/>
      <w:pPr>
        <w:ind w:left="1074" w:hanging="360"/>
      </w:pPr>
      <w:rPr>
        <w:rFonts w:ascii="Calibri" w:eastAsiaTheme="minorHAnsi" w:hAnsi="Calibri" w:cs="Calibri"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8">
    <w:nsid w:val="4A3E7C08"/>
    <w:multiLevelType w:val="hybridMultilevel"/>
    <w:tmpl w:val="159C732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4AA13B08"/>
    <w:multiLevelType w:val="hybridMultilevel"/>
    <w:tmpl w:val="A44219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0D841FF"/>
    <w:multiLevelType w:val="hybridMultilevel"/>
    <w:tmpl w:val="48C07D86"/>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nsid w:val="57CB4EF8"/>
    <w:multiLevelType w:val="hybridMultilevel"/>
    <w:tmpl w:val="61A0BB1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59060759"/>
    <w:multiLevelType w:val="hybridMultilevel"/>
    <w:tmpl w:val="4B4E5792"/>
    <w:lvl w:ilvl="0" w:tplc="6EBA305A">
      <w:start w:val="1"/>
      <w:numFmt w:val="lowerRoman"/>
      <w:lvlText w:val="%1)"/>
      <w:lvlJc w:val="left"/>
      <w:pPr>
        <w:ind w:left="715" w:hanging="72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3">
    <w:nsid w:val="5B3E2289"/>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4EE3AFA"/>
    <w:multiLevelType w:val="hybridMultilevel"/>
    <w:tmpl w:val="7F8EC77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BF01C47"/>
    <w:multiLevelType w:val="hybridMultilevel"/>
    <w:tmpl w:val="FEAE22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74031E9"/>
    <w:multiLevelType w:val="hybridMultilevel"/>
    <w:tmpl w:val="CECCEEC0"/>
    <w:lvl w:ilvl="0" w:tplc="EF5C1F1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7"/>
  </w:num>
  <w:num w:numId="5">
    <w:abstractNumId w:val="3"/>
  </w:num>
  <w:num w:numId="6">
    <w:abstractNumId w:val="12"/>
  </w:num>
  <w:num w:numId="7">
    <w:abstractNumId w:val="0"/>
  </w:num>
  <w:num w:numId="8">
    <w:abstractNumId w:val="4"/>
  </w:num>
  <w:num w:numId="9">
    <w:abstractNumId w:val="10"/>
  </w:num>
  <w:num w:numId="10">
    <w:abstractNumId w:val="13"/>
  </w:num>
  <w:num w:numId="11">
    <w:abstractNumId w:val="11"/>
  </w:num>
  <w:num w:numId="12">
    <w:abstractNumId w:val="1"/>
  </w:num>
  <w:num w:numId="13">
    <w:abstractNumId w:val="8"/>
  </w:num>
  <w:num w:numId="14">
    <w:abstractNumId w:val="14"/>
  </w:num>
  <w:num w:numId="15">
    <w:abstractNumId w:val="6"/>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s Fuchs Nissim">
    <w15:presenceInfo w15:providerId="AD" w15:userId="S-1-5-21-1425219046-2849150547-3608175519-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E3"/>
    <w:rsid w:val="00000A01"/>
    <w:rsid w:val="00002230"/>
    <w:rsid w:val="0001260A"/>
    <w:rsid w:val="0001278D"/>
    <w:rsid w:val="00045896"/>
    <w:rsid w:val="00047F54"/>
    <w:rsid w:val="000516DB"/>
    <w:rsid w:val="00084C30"/>
    <w:rsid w:val="00093C31"/>
    <w:rsid w:val="000A3890"/>
    <w:rsid w:val="000D0529"/>
    <w:rsid w:val="000D4CE9"/>
    <w:rsid w:val="00100637"/>
    <w:rsid w:val="00120597"/>
    <w:rsid w:val="00120D7E"/>
    <w:rsid w:val="00142FAE"/>
    <w:rsid w:val="00161A72"/>
    <w:rsid w:val="00167CFA"/>
    <w:rsid w:val="00184634"/>
    <w:rsid w:val="001B26F3"/>
    <w:rsid w:val="001B2E94"/>
    <w:rsid w:val="00236007"/>
    <w:rsid w:val="002422A4"/>
    <w:rsid w:val="00250683"/>
    <w:rsid w:val="00267C59"/>
    <w:rsid w:val="00276A38"/>
    <w:rsid w:val="00283990"/>
    <w:rsid w:val="002A106D"/>
    <w:rsid w:val="002A5994"/>
    <w:rsid w:val="002A7F06"/>
    <w:rsid w:val="002B035A"/>
    <w:rsid w:val="002B5375"/>
    <w:rsid w:val="002E4800"/>
    <w:rsid w:val="0030016E"/>
    <w:rsid w:val="00324942"/>
    <w:rsid w:val="00336D09"/>
    <w:rsid w:val="00342A6A"/>
    <w:rsid w:val="00347B73"/>
    <w:rsid w:val="00351B83"/>
    <w:rsid w:val="00384CD8"/>
    <w:rsid w:val="003A1CB5"/>
    <w:rsid w:val="003B5D5F"/>
    <w:rsid w:val="003E7D60"/>
    <w:rsid w:val="003F11DC"/>
    <w:rsid w:val="004037A7"/>
    <w:rsid w:val="00427837"/>
    <w:rsid w:val="004322BA"/>
    <w:rsid w:val="00455CAE"/>
    <w:rsid w:val="00476C0B"/>
    <w:rsid w:val="0048639A"/>
    <w:rsid w:val="004A5CF6"/>
    <w:rsid w:val="004B1110"/>
    <w:rsid w:val="004B3735"/>
    <w:rsid w:val="004D006D"/>
    <w:rsid w:val="004D52BA"/>
    <w:rsid w:val="004F76D8"/>
    <w:rsid w:val="0051796D"/>
    <w:rsid w:val="00524D28"/>
    <w:rsid w:val="005310CA"/>
    <w:rsid w:val="005376DE"/>
    <w:rsid w:val="00557C17"/>
    <w:rsid w:val="0056715E"/>
    <w:rsid w:val="005722E9"/>
    <w:rsid w:val="0059381F"/>
    <w:rsid w:val="00597F0A"/>
    <w:rsid w:val="005A298A"/>
    <w:rsid w:val="005B6DD5"/>
    <w:rsid w:val="005C4AED"/>
    <w:rsid w:val="005E4BF4"/>
    <w:rsid w:val="005E5340"/>
    <w:rsid w:val="005F6BEC"/>
    <w:rsid w:val="0060437C"/>
    <w:rsid w:val="00620322"/>
    <w:rsid w:val="00634AF1"/>
    <w:rsid w:val="00643732"/>
    <w:rsid w:val="00644059"/>
    <w:rsid w:val="00647765"/>
    <w:rsid w:val="00647C0B"/>
    <w:rsid w:val="006A1A80"/>
    <w:rsid w:val="006B510F"/>
    <w:rsid w:val="006B609C"/>
    <w:rsid w:val="006B6AA3"/>
    <w:rsid w:val="006C439F"/>
    <w:rsid w:val="006D0A71"/>
    <w:rsid w:val="006E1747"/>
    <w:rsid w:val="006F3152"/>
    <w:rsid w:val="006F5B30"/>
    <w:rsid w:val="00702E64"/>
    <w:rsid w:val="007052FC"/>
    <w:rsid w:val="0071106C"/>
    <w:rsid w:val="0072049D"/>
    <w:rsid w:val="00742A02"/>
    <w:rsid w:val="00747846"/>
    <w:rsid w:val="00751FA3"/>
    <w:rsid w:val="007615E0"/>
    <w:rsid w:val="00774ADA"/>
    <w:rsid w:val="00790BF2"/>
    <w:rsid w:val="00793E79"/>
    <w:rsid w:val="007940EF"/>
    <w:rsid w:val="007A34DC"/>
    <w:rsid w:val="007A7298"/>
    <w:rsid w:val="007B6563"/>
    <w:rsid w:val="007C0796"/>
    <w:rsid w:val="007C28D7"/>
    <w:rsid w:val="007D7BE4"/>
    <w:rsid w:val="007F5DED"/>
    <w:rsid w:val="00811FF9"/>
    <w:rsid w:val="00847E6C"/>
    <w:rsid w:val="00852D88"/>
    <w:rsid w:val="008623D7"/>
    <w:rsid w:val="008640A1"/>
    <w:rsid w:val="008708AE"/>
    <w:rsid w:val="008716E5"/>
    <w:rsid w:val="00877C47"/>
    <w:rsid w:val="0089045A"/>
    <w:rsid w:val="00890B42"/>
    <w:rsid w:val="008A341A"/>
    <w:rsid w:val="008B2498"/>
    <w:rsid w:val="008C7313"/>
    <w:rsid w:val="008D1942"/>
    <w:rsid w:val="008D57AF"/>
    <w:rsid w:val="008D6D47"/>
    <w:rsid w:val="00906E60"/>
    <w:rsid w:val="00910594"/>
    <w:rsid w:val="009413AC"/>
    <w:rsid w:val="009619E6"/>
    <w:rsid w:val="00972384"/>
    <w:rsid w:val="00974917"/>
    <w:rsid w:val="009837E2"/>
    <w:rsid w:val="0099473A"/>
    <w:rsid w:val="009A1EA0"/>
    <w:rsid w:val="009C19E6"/>
    <w:rsid w:val="00A04602"/>
    <w:rsid w:val="00A12F49"/>
    <w:rsid w:val="00A27A99"/>
    <w:rsid w:val="00A304CE"/>
    <w:rsid w:val="00A40969"/>
    <w:rsid w:val="00A43BAD"/>
    <w:rsid w:val="00A53055"/>
    <w:rsid w:val="00A55C1E"/>
    <w:rsid w:val="00A63A0D"/>
    <w:rsid w:val="00A7686A"/>
    <w:rsid w:val="00A85799"/>
    <w:rsid w:val="00A91CEA"/>
    <w:rsid w:val="00AA3F26"/>
    <w:rsid w:val="00AC7206"/>
    <w:rsid w:val="00AD0847"/>
    <w:rsid w:val="00AD4CAE"/>
    <w:rsid w:val="00AD6D20"/>
    <w:rsid w:val="00AE0BB0"/>
    <w:rsid w:val="00B516FB"/>
    <w:rsid w:val="00B55888"/>
    <w:rsid w:val="00B6527B"/>
    <w:rsid w:val="00B733DA"/>
    <w:rsid w:val="00B7618E"/>
    <w:rsid w:val="00B82899"/>
    <w:rsid w:val="00B93CE3"/>
    <w:rsid w:val="00BB3866"/>
    <w:rsid w:val="00BB4BAF"/>
    <w:rsid w:val="00BF3582"/>
    <w:rsid w:val="00BF5DDF"/>
    <w:rsid w:val="00C02240"/>
    <w:rsid w:val="00C14D64"/>
    <w:rsid w:val="00C41D76"/>
    <w:rsid w:val="00C51413"/>
    <w:rsid w:val="00C71FDD"/>
    <w:rsid w:val="00C901DE"/>
    <w:rsid w:val="00C9135E"/>
    <w:rsid w:val="00C916D8"/>
    <w:rsid w:val="00CA3954"/>
    <w:rsid w:val="00CA4A26"/>
    <w:rsid w:val="00CB5469"/>
    <w:rsid w:val="00CC5CBF"/>
    <w:rsid w:val="00CE2984"/>
    <w:rsid w:val="00CE717E"/>
    <w:rsid w:val="00CE75EF"/>
    <w:rsid w:val="00CE7636"/>
    <w:rsid w:val="00D15C06"/>
    <w:rsid w:val="00D31F00"/>
    <w:rsid w:val="00D40631"/>
    <w:rsid w:val="00D500BE"/>
    <w:rsid w:val="00D56897"/>
    <w:rsid w:val="00D607CA"/>
    <w:rsid w:val="00D6317A"/>
    <w:rsid w:val="00D83F3B"/>
    <w:rsid w:val="00D91B99"/>
    <w:rsid w:val="00DB1554"/>
    <w:rsid w:val="00DB72AA"/>
    <w:rsid w:val="00DC6C17"/>
    <w:rsid w:val="00DE53D4"/>
    <w:rsid w:val="00DE7DA6"/>
    <w:rsid w:val="00E04A4B"/>
    <w:rsid w:val="00E05C3C"/>
    <w:rsid w:val="00E07196"/>
    <w:rsid w:val="00E15E25"/>
    <w:rsid w:val="00E74D43"/>
    <w:rsid w:val="00E805B3"/>
    <w:rsid w:val="00EA5E27"/>
    <w:rsid w:val="00EA6E44"/>
    <w:rsid w:val="00EB34F4"/>
    <w:rsid w:val="00EC6566"/>
    <w:rsid w:val="00F42C0A"/>
    <w:rsid w:val="00F54C16"/>
    <w:rsid w:val="00F64559"/>
    <w:rsid w:val="00F846C9"/>
    <w:rsid w:val="00F870CE"/>
    <w:rsid w:val="00F91329"/>
    <w:rsid w:val="00FA7005"/>
    <w:rsid w:val="00FC279B"/>
    <w:rsid w:val="00FD76BF"/>
    <w:rsid w:val="00FF565F"/>
    <w:rsid w:val="00FF72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D7"/>
    <w:rPr>
      <w:lang w:val="es-ES"/>
    </w:rPr>
  </w:style>
  <w:style w:type="paragraph" w:styleId="Ttulo1">
    <w:name w:val="heading 1"/>
    <w:basedOn w:val="Normal"/>
    <w:next w:val="Normal"/>
    <w:link w:val="Ttulo1Car"/>
    <w:uiPriority w:val="9"/>
    <w:qFormat/>
    <w:rsid w:val="00D91B99"/>
    <w:pPr>
      <w:keepNext/>
      <w:keepLines/>
      <w:spacing w:before="240" w:after="0"/>
      <w:jc w:val="center"/>
      <w:outlineLvl w:val="0"/>
    </w:pPr>
    <w:rPr>
      <w:rFonts w:asciiTheme="majorHAnsi" w:eastAsiaTheme="majorEastAsia" w:hAnsiTheme="majorHAnsi" w:cstheme="majorBidi"/>
      <w:b/>
      <w:color w:val="000000" w:themeColor="text1"/>
      <w:sz w:val="36"/>
      <w:szCs w:val="32"/>
    </w:rPr>
  </w:style>
  <w:style w:type="paragraph" w:styleId="Ttulo2">
    <w:name w:val="heading 2"/>
    <w:basedOn w:val="Normal"/>
    <w:next w:val="Normal"/>
    <w:link w:val="Ttulo2Car"/>
    <w:uiPriority w:val="9"/>
    <w:unhideWhenUsed/>
    <w:qFormat/>
    <w:rsid w:val="007052FC"/>
    <w:pPr>
      <w:keepNext/>
      <w:keepLines/>
      <w:spacing w:before="40" w:after="0"/>
      <w:jc w:val="center"/>
      <w:outlineLvl w:val="1"/>
    </w:pPr>
    <w:rPr>
      <w:rFonts w:asciiTheme="majorHAnsi" w:eastAsiaTheme="majorEastAsia" w:hAnsiTheme="majorHAnsi" w:cstheme="majorBidi"/>
      <w:color w:val="000000" w:themeColor="text1"/>
      <w:sz w:val="32"/>
      <w:szCs w:val="26"/>
    </w:rPr>
  </w:style>
  <w:style w:type="paragraph" w:styleId="Ttulo3">
    <w:name w:val="heading 3"/>
    <w:basedOn w:val="Normal"/>
    <w:next w:val="Normal"/>
    <w:link w:val="Ttulo3Car"/>
    <w:uiPriority w:val="9"/>
    <w:unhideWhenUsed/>
    <w:qFormat/>
    <w:rsid w:val="002422A4"/>
    <w:pPr>
      <w:keepNext/>
      <w:jc w:val="both"/>
      <w:outlineLvl w:val="2"/>
    </w:pPr>
    <w:rPr>
      <w:b/>
      <w:i/>
    </w:rPr>
  </w:style>
  <w:style w:type="paragraph" w:styleId="Ttulo4">
    <w:name w:val="heading 4"/>
    <w:basedOn w:val="Normal"/>
    <w:next w:val="Normal"/>
    <w:link w:val="Ttulo4Car"/>
    <w:uiPriority w:val="9"/>
    <w:unhideWhenUsed/>
    <w:qFormat/>
    <w:rsid w:val="00557C17"/>
    <w:pPr>
      <w:keepNext/>
      <w:keepLines/>
      <w:spacing w:before="40" w:after="0"/>
      <w:ind w:firstLine="708"/>
      <w:outlineLvl w:val="3"/>
    </w:pPr>
    <w:rPr>
      <w:rFonts w:asciiTheme="majorHAnsi" w:eastAsiaTheme="majorEastAsia" w:hAnsiTheme="majorHAnsi" w:cstheme="majorBidi"/>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52FC"/>
    <w:rPr>
      <w:rFonts w:asciiTheme="majorHAnsi" w:eastAsiaTheme="majorEastAsia" w:hAnsiTheme="majorHAnsi" w:cstheme="majorBidi"/>
      <w:color w:val="000000" w:themeColor="text1"/>
      <w:sz w:val="32"/>
      <w:szCs w:val="26"/>
      <w:lang w:val="es-ES"/>
    </w:rPr>
  </w:style>
  <w:style w:type="character" w:customStyle="1" w:styleId="Ttulo1Car">
    <w:name w:val="Título 1 Car"/>
    <w:basedOn w:val="Fuentedeprrafopredeter"/>
    <w:link w:val="Ttulo1"/>
    <w:uiPriority w:val="9"/>
    <w:rsid w:val="00D91B99"/>
    <w:rPr>
      <w:rFonts w:asciiTheme="majorHAnsi" w:eastAsiaTheme="majorEastAsia" w:hAnsiTheme="majorHAnsi" w:cstheme="majorBidi"/>
      <w:b/>
      <w:color w:val="000000" w:themeColor="text1"/>
      <w:sz w:val="36"/>
      <w:szCs w:val="32"/>
      <w:lang w:val="es-ES"/>
    </w:rPr>
  </w:style>
  <w:style w:type="character" w:customStyle="1" w:styleId="Ttulo3Car">
    <w:name w:val="Título 3 Car"/>
    <w:basedOn w:val="Fuentedeprrafopredeter"/>
    <w:link w:val="Ttulo3"/>
    <w:uiPriority w:val="9"/>
    <w:rsid w:val="002422A4"/>
    <w:rPr>
      <w:b/>
      <w:i/>
      <w:lang w:val="es-ES"/>
    </w:rPr>
  </w:style>
  <w:style w:type="paragraph" w:styleId="Prrafodelista">
    <w:name w:val="List Paragraph"/>
    <w:basedOn w:val="Normal"/>
    <w:uiPriority w:val="34"/>
    <w:qFormat/>
    <w:rsid w:val="007052FC"/>
    <w:pPr>
      <w:ind w:left="720"/>
      <w:contextualSpacing/>
    </w:pPr>
  </w:style>
  <w:style w:type="paragraph" w:styleId="Textodeglobo">
    <w:name w:val="Balloon Text"/>
    <w:basedOn w:val="Normal"/>
    <w:link w:val="TextodegloboCar"/>
    <w:uiPriority w:val="99"/>
    <w:semiHidden/>
    <w:unhideWhenUsed/>
    <w:rsid w:val="00DB7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2AA"/>
    <w:rPr>
      <w:rFonts w:ascii="Segoe UI" w:hAnsi="Segoe UI" w:cs="Segoe UI"/>
      <w:sz w:val="18"/>
      <w:szCs w:val="18"/>
      <w:lang w:val="es-ES"/>
    </w:rPr>
  </w:style>
  <w:style w:type="table" w:styleId="Tablaconcuadrcula">
    <w:name w:val="Table Grid"/>
    <w:basedOn w:val="Tablanormal"/>
    <w:uiPriority w:val="39"/>
    <w:rsid w:val="00AD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557C17"/>
    <w:rPr>
      <w:rFonts w:asciiTheme="majorHAnsi" w:eastAsiaTheme="majorEastAsia" w:hAnsiTheme="majorHAnsi" w:cstheme="majorBidi"/>
      <w:i/>
      <w:iCs/>
      <w:color w:val="5B9BD5" w:themeColor="accent1"/>
      <w:lang w:val="es-ES"/>
    </w:rPr>
  </w:style>
  <w:style w:type="character" w:styleId="Refdecomentario">
    <w:name w:val="annotation reference"/>
    <w:basedOn w:val="Fuentedeprrafopredeter"/>
    <w:uiPriority w:val="99"/>
    <w:semiHidden/>
    <w:unhideWhenUsed/>
    <w:rsid w:val="00CA3954"/>
    <w:rPr>
      <w:sz w:val="16"/>
      <w:szCs w:val="16"/>
    </w:rPr>
  </w:style>
  <w:style w:type="paragraph" w:styleId="Textocomentario">
    <w:name w:val="annotation text"/>
    <w:basedOn w:val="Normal"/>
    <w:link w:val="TextocomentarioCar"/>
    <w:uiPriority w:val="99"/>
    <w:semiHidden/>
    <w:unhideWhenUsed/>
    <w:rsid w:val="00CA39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95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A3954"/>
    <w:rPr>
      <w:b/>
      <w:bCs/>
    </w:rPr>
  </w:style>
  <w:style w:type="character" w:customStyle="1" w:styleId="AsuntodelcomentarioCar">
    <w:name w:val="Asunto del comentario Car"/>
    <w:basedOn w:val="TextocomentarioCar"/>
    <w:link w:val="Asuntodelcomentario"/>
    <w:uiPriority w:val="99"/>
    <w:semiHidden/>
    <w:rsid w:val="00CA3954"/>
    <w:rPr>
      <w:b/>
      <w:bCs/>
      <w:sz w:val="20"/>
      <w:szCs w:val="20"/>
      <w:lang w:val="es-ES"/>
    </w:rPr>
  </w:style>
  <w:style w:type="paragraph" w:styleId="Textonotapie">
    <w:name w:val="footnote text"/>
    <w:basedOn w:val="Normal"/>
    <w:link w:val="TextonotapieCar"/>
    <w:uiPriority w:val="99"/>
    <w:semiHidden/>
    <w:unhideWhenUsed/>
    <w:rsid w:val="00F42C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C0A"/>
    <w:rPr>
      <w:sz w:val="20"/>
      <w:szCs w:val="20"/>
      <w:lang w:val="es-ES"/>
    </w:rPr>
  </w:style>
  <w:style w:type="character" w:styleId="Refdenotaalpie">
    <w:name w:val="footnote reference"/>
    <w:basedOn w:val="Fuentedeprrafopredeter"/>
    <w:uiPriority w:val="99"/>
    <w:semiHidden/>
    <w:unhideWhenUsed/>
    <w:rsid w:val="00F42C0A"/>
    <w:rPr>
      <w:vertAlign w:val="superscript"/>
    </w:rPr>
  </w:style>
  <w:style w:type="paragraph" w:styleId="Encabezado">
    <w:name w:val="header"/>
    <w:basedOn w:val="Normal"/>
    <w:link w:val="EncabezadoCar"/>
    <w:uiPriority w:val="99"/>
    <w:unhideWhenUsed/>
    <w:rsid w:val="004B3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735"/>
    <w:rPr>
      <w:lang w:val="es-ES"/>
    </w:rPr>
  </w:style>
  <w:style w:type="paragraph" w:styleId="Piedepgina">
    <w:name w:val="footer"/>
    <w:basedOn w:val="Normal"/>
    <w:link w:val="PiedepginaCar"/>
    <w:uiPriority w:val="99"/>
    <w:unhideWhenUsed/>
    <w:rsid w:val="004B3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735"/>
    <w:rPr>
      <w:lang w:val="es-ES"/>
    </w:rPr>
  </w:style>
  <w:style w:type="paragraph" w:styleId="Textonotaalfinal">
    <w:name w:val="endnote text"/>
    <w:basedOn w:val="Normal"/>
    <w:link w:val="TextonotaalfinalCar"/>
    <w:uiPriority w:val="99"/>
    <w:semiHidden/>
    <w:unhideWhenUsed/>
    <w:rsid w:val="003B5D5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B5D5F"/>
    <w:rPr>
      <w:sz w:val="20"/>
      <w:szCs w:val="20"/>
      <w:lang w:val="es-ES"/>
    </w:rPr>
  </w:style>
  <w:style w:type="character" w:styleId="Refdenotaalfinal">
    <w:name w:val="endnote reference"/>
    <w:basedOn w:val="Fuentedeprrafopredeter"/>
    <w:uiPriority w:val="99"/>
    <w:semiHidden/>
    <w:unhideWhenUsed/>
    <w:rsid w:val="003B5D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D7"/>
    <w:rPr>
      <w:lang w:val="es-ES"/>
    </w:rPr>
  </w:style>
  <w:style w:type="paragraph" w:styleId="Ttulo1">
    <w:name w:val="heading 1"/>
    <w:basedOn w:val="Normal"/>
    <w:next w:val="Normal"/>
    <w:link w:val="Ttulo1Car"/>
    <w:uiPriority w:val="9"/>
    <w:qFormat/>
    <w:rsid w:val="00D91B99"/>
    <w:pPr>
      <w:keepNext/>
      <w:keepLines/>
      <w:spacing w:before="240" w:after="0"/>
      <w:jc w:val="center"/>
      <w:outlineLvl w:val="0"/>
    </w:pPr>
    <w:rPr>
      <w:rFonts w:asciiTheme="majorHAnsi" w:eastAsiaTheme="majorEastAsia" w:hAnsiTheme="majorHAnsi" w:cstheme="majorBidi"/>
      <w:b/>
      <w:color w:val="000000" w:themeColor="text1"/>
      <w:sz w:val="36"/>
      <w:szCs w:val="32"/>
    </w:rPr>
  </w:style>
  <w:style w:type="paragraph" w:styleId="Ttulo2">
    <w:name w:val="heading 2"/>
    <w:basedOn w:val="Normal"/>
    <w:next w:val="Normal"/>
    <w:link w:val="Ttulo2Car"/>
    <w:uiPriority w:val="9"/>
    <w:unhideWhenUsed/>
    <w:qFormat/>
    <w:rsid w:val="007052FC"/>
    <w:pPr>
      <w:keepNext/>
      <w:keepLines/>
      <w:spacing w:before="40" w:after="0"/>
      <w:jc w:val="center"/>
      <w:outlineLvl w:val="1"/>
    </w:pPr>
    <w:rPr>
      <w:rFonts w:asciiTheme="majorHAnsi" w:eastAsiaTheme="majorEastAsia" w:hAnsiTheme="majorHAnsi" w:cstheme="majorBidi"/>
      <w:color w:val="000000" w:themeColor="text1"/>
      <w:sz w:val="32"/>
      <w:szCs w:val="26"/>
    </w:rPr>
  </w:style>
  <w:style w:type="paragraph" w:styleId="Ttulo3">
    <w:name w:val="heading 3"/>
    <w:basedOn w:val="Normal"/>
    <w:next w:val="Normal"/>
    <w:link w:val="Ttulo3Car"/>
    <w:uiPriority w:val="9"/>
    <w:unhideWhenUsed/>
    <w:qFormat/>
    <w:rsid w:val="002422A4"/>
    <w:pPr>
      <w:keepNext/>
      <w:jc w:val="both"/>
      <w:outlineLvl w:val="2"/>
    </w:pPr>
    <w:rPr>
      <w:b/>
      <w:i/>
    </w:rPr>
  </w:style>
  <w:style w:type="paragraph" w:styleId="Ttulo4">
    <w:name w:val="heading 4"/>
    <w:basedOn w:val="Normal"/>
    <w:next w:val="Normal"/>
    <w:link w:val="Ttulo4Car"/>
    <w:uiPriority w:val="9"/>
    <w:unhideWhenUsed/>
    <w:qFormat/>
    <w:rsid w:val="00557C17"/>
    <w:pPr>
      <w:keepNext/>
      <w:keepLines/>
      <w:spacing w:before="40" w:after="0"/>
      <w:ind w:firstLine="708"/>
      <w:outlineLvl w:val="3"/>
    </w:pPr>
    <w:rPr>
      <w:rFonts w:asciiTheme="majorHAnsi" w:eastAsiaTheme="majorEastAsia" w:hAnsiTheme="majorHAnsi" w:cstheme="majorBidi"/>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52FC"/>
    <w:rPr>
      <w:rFonts w:asciiTheme="majorHAnsi" w:eastAsiaTheme="majorEastAsia" w:hAnsiTheme="majorHAnsi" w:cstheme="majorBidi"/>
      <w:color w:val="000000" w:themeColor="text1"/>
      <w:sz w:val="32"/>
      <w:szCs w:val="26"/>
      <w:lang w:val="es-ES"/>
    </w:rPr>
  </w:style>
  <w:style w:type="character" w:customStyle="1" w:styleId="Ttulo1Car">
    <w:name w:val="Título 1 Car"/>
    <w:basedOn w:val="Fuentedeprrafopredeter"/>
    <w:link w:val="Ttulo1"/>
    <w:uiPriority w:val="9"/>
    <w:rsid w:val="00D91B99"/>
    <w:rPr>
      <w:rFonts w:asciiTheme="majorHAnsi" w:eastAsiaTheme="majorEastAsia" w:hAnsiTheme="majorHAnsi" w:cstheme="majorBidi"/>
      <w:b/>
      <w:color w:val="000000" w:themeColor="text1"/>
      <w:sz w:val="36"/>
      <w:szCs w:val="32"/>
      <w:lang w:val="es-ES"/>
    </w:rPr>
  </w:style>
  <w:style w:type="character" w:customStyle="1" w:styleId="Ttulo3Car">
    <w:name w:val="Título 3 Car"/>
    <w:basedOn w:val="Fuentedeprrafopredeter"/>
    <w:link w:val="Ttulo3"/>
    <w:uiPriority w:val="9"/>
    <w:rsid w:val="002422A4"/>
    <w:rPr>
      <w:b/>
      <w:i/>
      <w:lang w:val="es-ES"/>
    </w:rPr>
  </w:style>
  <w:style w:type="paragraph" w:styleId="Prrafodelista">
    <w:name w:val="List Paragraph"/>
    <w:basedOn w:val="Normal"/>
    <w:uiPriority w:val="34"/>
    <w:qFormat/>
    <w:rsid w:val="007052FC"/>
    <w:pPr>
      <w:ind w:left="720"/>
      <w:contextualSpacing/>
    </w:pPr>
  </w:style>
  <w:style w:type="paragraph" w:styleId="Textodeglobo">
    <w:name w:val="Balloon Text"/>
    <w:basedOn w:val="Normal"/>
    <w:link w:val="TextodegloboCar"/>
    <w:uiPriority w:val="99"/>
    <w:semiHidden/>
    <w:unhideWhenUsed/>
    <w:rsid w:val="00DB72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2AA"/>
    <w:rPr>
      <w:rFonts w:ascii="Segoe UI" w:hAnsi="Segoe UI" w:cs="Segoe UI"/>
      <w:sz w:val="18"/>
      <w:szCs w:val="18"/>
      <w:lang w:val="es-ES"/>
    </w:rPr>
  </w:style>
  <w:style w:type="table" w:styleId="Tablaconcuadrcula">
    <w:name w:val="Table Grid"/>
    <w:basedOn w:val="Tablanormal"/>
    <w:uiPriority w:val="39"/>
    <w:rsid w:val="00AD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557C17"/>
    <w:rPr>
      <w:rFonts w:asciiTheme="majorHAnsi" w:eastAsiaTheme="majorEastAsia" w:hAnsiTheme="majorHAnsi" w:cstheme="majorBidi"/>
      <w:i/>
      <w:iCs/>
      <w:color w:val="5B9BD5" w:themeColor="accent1"/>
      <w:lang w:val="es-ES"/>
    </w:rPr>
  </w:style>
  <w:style w:type="character" w:styleId="Refdecomentario">
    <w:name w:val="annotation reference"/>
    <w:basedOn w:val="Fuentedeprrafopredeter"/>
    <w:uiPriority w:val="99"/>
    <w:semiHidden/>
    <w:unhideWhenUsed/>
    <w:rsid w:val="00CA3954"/>
    <w:rPr>
      <w:sz w:val="16"/>
      <w:szCs w:val="16"/>
    </w:rPr>
  </w:style>
  <w:style w:type="paragraph" w:styleId="Textocomentario">
    <w:name w:val="annotation text"/>
    <w:basedOn w:val="Normal"/>
    <w:link w:val="TextocomentarioCar"/>
    <w:uiPriority w:val="99"/>
    <w:semiHidden/>
    <w:unhideWhenUsed/>
    <w:rsid w:val="00CA39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95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A3954"/>
    <w:rPr>
      <w:b/>
      <w:bCs/>
    </w:rPr>
  </w:style>
  <w:style w:type="character" w:customStyle="1" w:styleId="AsuntodelcomentarioCar">
    <w:name w:val="Asunto del comentario Car"/>
    <w:basedOn w:val="TextocomentarioCar"/>
    <w:link w:val="Asuntodelcomentario"/>
    <w:uiPriority w:val="99"/>
    <w:semiHidden/>
    <w:rsid w:val="00CA3954"/>
    <w:rPr>
      <w:b/>
      <w:bCs/>
      <w:sz w:val="20"/>
      <w:szCs w:val="20"/>
      <w:lang w:val="es-ES"/>
    </w:rPr>
  </w:style>
  <w:style w:type="paragraph" w:styleId="Textonotapie">
    <w:name w:val="footnote text"/>
    <w:basedOn w:val="Normal"/>
    <w:link w:val="TextonotapieCar"/>
    <w:uiPriority w:val="99"/>
    <w:semiHidden/>
    <w:unhideWhenUsed/>
    <w:rsid w:val="00F42C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2C0A"/>
    <w:rPr>
      <w:sz w:val="20"/>
      <w:szCs w:val="20"/>
      <w:lang w:val="es-ES"/>
    </w:rPr>
  </w:style>
  <w:style w:type="character" w:styleId="Refdenotaalpie">
    <w:name w:val="footnote reference"/>
    <w:basedOn w:val="Fuentedeprrafopredeter"/>
    <w:uiPriority w:val="99"/>
    <w:semiHidden/>
    <w:unhideWhenUsed/>
    <w:rsid w:val="00F42C0A"/>
    <w:rPr>
      <w:vertAlign w:val="superscript"/>
    </w:rPr>
  </w:style>
  <w:style w:type="paragraph" w:styleId="Encabezado">
    <w:name w:val="header"/>
    <w:basedOn w:val="Normal"/>
    <w:link w:val="EncabezadoCar"/>
    <w:uiPriority w:val="99"/>
    <w:unhideWhenUsed/>
    <w:rsid w:val="004B3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735"/>
    <w:rPr>
      <w:lang w:val="es-ES"/>
    </w:rPr>
  </w:style>
  <w:style w:type="paragraph" w:styleId="Piedepgina">
    <w:name w:val="footer"/>
    <w:basedOn w:val="Normal"/>
    <w:link w:val="PiedepginaCar"/>
    <w:uiPriority w:val="99"/>
    <w:unhideWhenUsed/>
    <w:rsid w:val="004B3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735"/>
    <w:rPr>
      <w:lang w:val="es-ES"/>
    </w:rPr>
  </w:style>
  <w:style w:type="paragraph" w:styleId="Textonotaalfinal">
    <w:name w:val="endnote text"/>
    <w:basedOn w:val="Normal"/>
    <w:link w:val="TextonotaalfinalCar"/>
    <w:uiPriority w:val="99"/>
    <w:semiHidden/>
    <w:unhideWhenUsed/>
    <w:rsid w:val="003B5D5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B5D5F"/>
    <w:rPr>
      <w:sz w:val="20"/>
      <w:szCs w:val="20"/>
      <w:lang w:val="es-ES"/>
    </w:rPr>
  </w:style>
  <w:style w:type="character" w:styleId="Refdenotaalfinal">
    <w:name w:val="endnote reference"/>
    <w:basedOn w:val="Fuentedeprrafopredeter"/>
    <w:uiPriority w:val="99"/>
    <w:semiHidden/>
    <w:unhideWhenUsed/>
    <w:rsid w:val="003B5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A90F-4B72-4A0B-9F6C-33CBDB45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12332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 González Villanueva</dc:creator>
  <cp:lastModifiedBy>Adolfo Oliva Torres</cp:lastModifiedBy>
  <cp:revision>2</cp:revision>
  <cp:lastPrinted>2019-05-10T21:31:00Z</cp:lastPrinted>
  <dcterms:created xsi:type="dcterms:W3CDTF">2019-05-10T21:52:00Z</dcterms:created>
  <dcterms:modified xsi:type="dcterms:W3CDTF">2019-05-10T21:52:00Z</dcterms:modified>
</cp:coreProperties>
</file>