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7C57B" w14:textId="77777777" w:rsidR="00B3233E" w:rsidRPr="00B3233E" w:rsidRDefault="00B3233E" w:rsidP="00B3233E">
      <w:pPr>
        <w:pStyle w:val="Default"/>
        <w:jc w:val="both"/>
        <w:rPr>
          <w:rFonts w:ascii="Arial" w:hAnsi="Arial" w:cs="Arial"/>
        </w:rPr>
      </w:pPr>
    </w:p>
    <w:p w14:paraId="5686C3D5" w14:textId="27437F59" w:rsidR="00B3233E" w:rsidRPr="00B3233E" w:rsidRDefault="00B22CFA" w:rsidP="00B3233E">
      <w:pPr>
        <w:pStyle w:val="Default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CONSULTA </w:t>
      </w:r>
      <w:r w:rsidR="00822DB7">
        <w:rPr>
          <w:rFonts w:ascii="Century Gothic" w:hAnsi="Century Gothic" w:cs="Arial"/>
          <w:b/>
          <w:bCs/>
          <w:sz w:val="22"/>
          <w:szCs w:val="22"/>
        </w:rPr>
        <w:t>CIUDADANA SOBRE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5367E">
        <w:rPr>
          <w:rFonts w:ascii="Century Gothic" w:hAnsi="Century Gothic" w:cs="Arial"/>
          <w:b/>
          <w:bCs/>
          <w:sz w:val="22"/>
          <w:szCs w:val="22"/>
        </w:rPr>
        <w:t>REGLAMENTO</w:t>
      </w:r>
      <w:r w:rsidR="00822DB7" w:rsidRPr="00822DB7">
        <w:t xml:space="preserve"> </w:t>
      </w:r>
      <w:r w:rsidR="00822DB7" w:rsidRPr="00822DB7">
        <w:rPr>
          <w:rFonts w:ascii="Century Gothic" w:hAnsi="Century Gothic" w:cs="Arial"/>
          <w:b/>
          <w:bCs/>
          <w:sz w:val="22"/>
          <w:szCs w:val="22"/>
        </w:rPr>
        <w:t>QUE APRUEBA</w:t>
      </w:r>
      <w:r w:rsidR="00C5367E">
        <w:rPr>
          <w:rFonts w:ascii="Century Gothic" w:hAnsi="Century Gothic" w:cs="Arial"/>
          <w:b/>
          <w:bCs/>
          <w:sz w:val="22"/>
          <w:szCs w:val="22"/>
        </w:rPr>
        <w:t xml:space="preserve"> OFERTA DE FACILIDADES Y REVE</w:t>
      </w:r>
      <w:r w:rsidR="007E1607">
        <w:rPr>
          <w:rFonts w:ascii="Century Gothic" w:hAnsi="Century Gothic" w:cs="Arial"/>
          <w:b/>
          <w:bCs/>
          <w:sz w:val="22"/>
          <w:szCs w:val="22"/>
        </w:rPr>
        <w:t>NTA DE PLANES PARA OPERAD</w:t>
      </w:r>
      <w:bookmarkStart w:id="0" w:name="_GoBack"/>
      <w:bookmarkEnd w:id="0"/>
      <w:r w:rsidR="007E1607">
        <w:rPr>
          <w:rFonts w:ascii="Century Gothic" w:hAnsi="Century Gothic" w:cs="Arial"/>
          <w:b/>
          <w:bCs/>
          <w:sz w:val="22"/>
          <w:szCs w:val="22"/>
        </w:rPr>
        <w:t>ORES MÓ</w:t>
      </w:r>
      <w:r w:rsidR="00C5367E">
        <w:rPr>
          <w:rFonts w:ascii="Century Gothic" w:hAnsi="Century Gothic" w:cs="Arial"/>
          <w:b/>
          <w:bCs/>
          <w:sz w:val="22"/>
          <w:szCs w:val="22"/>
        </w:rPr>
        <w:t xml:space="preserve">VILES VIRTUALES. </w:t>
      </w:r>
    </w:p>
    <w:p w14:paraId="0B13B6D2" w14:textId="77777777" w:rsidR="00B3233E" w:rsidRDefault="00B3233E" w:rsidP="00B3233E">
      <w:pPr>
        <w:pStyle w:val="Default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E59541C" w14:textId="77777777" w:rsidR="00B3233E" w:rsidRDefault="00B3233E" w:rsidP="00B3233E">
      <w:pPr>
        <w:pStyle w:val="Default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B3233E">
        <w:rPr>
          <w:rFonts w:ascii="Century Gothic" w:hAnsi="Century Gothic" w:cs="Arial"/>
          <w:b/>
          <w:bCs/>
          <w:sz w:val="22"/>
          <w:szCs w:val="22"/>
        </w:rPr>
        <w:t xml:space="preserve">I INTRODUCCIÓN </w:t>
      </w:r>
    </w:p>
    <w:p w14:paraId="0771379E" w14:textId="77777777" w:rsidR="00FE107D" w:rsidRDefault="00FE107D" w:rsidP="00AF6A53">
      <w:pPr>
        <w:pStyle w:val="HTMLconformatoprevio"/>
        <w:shd w:val="clear" w:color="auto" w:fill="FFFFFF"/>
        <w:spacing w:line="200" w:lineRule="atLeast"/>
        <w:jc w:val="both"/>
        <w:rPr>
          <w:rFonts w:ascii="Century Gothic" w:eastAsiaTheme="minorHAnsi" w:hAnsi="Century Gothic" w:cs="Arial"/>
          <w:color w:val="000000"/>
          <w:sz w:val="22"/>
          <w:szCs w:val="22"/>
          <w:lang w:val="es-CL"/>
        </w:rPr>
      </w:pPr>
    </w:p>
    <w:p w14:paraId="11DE77A8" w14:textId="4AE960EA" w:rsidR="00884C12" w:rsidRDefault="00884C12" w:rsidP="00AF6A53">
      <w:pPr>
        <w:pStyle w:val="HTMLconformatoprevio"/>
        <w:shd w:val="clear" w:color="auto" w:fill="FFFFFF"/>
        <w:spacing w:line="200" w:lineRule="atLeast"/>
        <w:jc w:val="both"/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t xml:space="preserve">La presente propuesta de reglamento ha sido elaborada por esta Subsecretaria de Telecomunicaciones como una forma de impulsar </w:t>
      </w:r>
      <w:r w:rsidR="0004290B">
        <w:rPr>
          <w:rFonts w:ascii="Century Gothic" w:hAnsi="Century Gothic"/>
          <w:sz w:val="22"/>
          <w:szCs w:val="22"/>
          <w:lang w:val="es-CL"/>
        </w:rPr>
        <w:t>la</w:t>
      </w:r>
      <w:r>
        <w:rPr>
          <w:rFonts w:ascii="Century Gothic" w:hAnsi="Century Gothic"/>
          <w:sz w:val="22"/>
          <w:szCs w:val="22"/>
          <w:lang w:val="es-CL"/>
        </w:rPr>
        <w:t xml:space="preserve"> competencia en el mercado de la telefonía móvil, a través del resguardo</w:t>
      </w:r>
      <w:r w:rsidR="00FD430A">
        <w:rPr>
          <w:rFonts w:ascii="Century Gothic" w:hAnsi="Century Gothic"/>
          <w:sz w:val="22"/>
          <w:szCs w:val="22"/>
          <w:lang w:val="es-CL"/>
        </w:rPr>
        <w:t xml:space="preserve"> de condiciones</w:t>
      </w:r>
      <w:r>
        <w:rPr>
          <w:rFonts w:ascii="Century Gothic" w:hAnsi="Century Gothic"/>
          <w:sz w:val="22"/>
          <w:szCs w:val="22"/>
          <w:lang w:val="es-CL"/>
        </w:rPr>
        <w:t xml:space="preserve"> a la entrada de </w:t>
      </w:r>
      <w:r w:rsidR="00252B44">
        <w:rPr>
          <w:rFonts w:ascii="Century Gothic" w:hAnsi="Century Gothic"/>
          <w:sz w:val="22"/>
          <w:szCs w:val="22"/>
          <w:lang w:val="es-CL"/>
        </w:rPr>
        <w:t>nuevos operadores como son los O</w:t>
      </w:r>
      <w:r>
        <w:rPr>
          <w:rFonts w:ascii="Century Gothic" w:hAnsi="Century Gothic"/>
          <w:sz w:val="22"/>
          <w:szCs w:val="22"/>
          <w:lang w:val="es-CL"/>
        </w:rPr>
        <w:t xml:space="preserve">peradores </w:t>
      </w:r>
      <w:r w:rsidR="00252B44">
        <w:rPr>
          <w:rFonts w:ascii="Century Gothic" w:hAnsi="Century Gothic"/>
          <w:sz w:val="22"/>
          <w:szCs w:val="22"/>
          <w:lang w:val="es-CL"/>
        </w:rPr>
        <w:t>M</w:t>
      </w:r>
      <w:r>
        <w:rPr>
          <w:rFonts w:ascii="Century Gothic" w:hAnsi="Century Gothic"/>
          <w:sz w:val="22"/>
          <w:szCs w:val="22"/>
          <w:lang w:val="es-CL"/>
        </w:rPr>
        <w:t xml:space="preserve">óviles </w:t>
      </w:r>
      <w:r w:rsidR="00252B44">
        <w:rPr>
          <w:rFonts w:ascii="Century Gothic" w:hAnsi="Century Gothic"/>
          <w:sz w:val="22"/>
          <w:szCs w:val="22"/>
          <w:lang w:val="es-CL"/>
        </w:rPr>
        <w:t>V</w:t>
      </w:r>
      <w:r w:rsidR="000B3B10">
        <w:rPr>
          <w:rFonts w:ascii="Century Gothic" w:hAnsi="Century Gothic"/>
          <w:sz w:val="22"/>
          <w:szCs w:val="22"/>
          <w:lang w:val="es-CL"/>
        </w:rPr>
        <w:t>irtuales</w:t>
      </w:r>
      <w:r>
        <w:rPr>
          <w:rFonts w:ascii="Century Gothic" w:hAnsi="Century Gothic"/>
          <w:sz w:val="22"/>
          <w:szCs w:val="22"/>
          <w:lang w:val="es-CL"/>
        </w:rPr>
        <w:t xml:space="preserve"> </w:t>
      </w:r>
      <w:r w:rsidR="000B3B10">
        <w:rPr>
          <w:rFonts w:ascii="Century Gothic" w:hAnsi="Century Gothic"/>
          <w:sz w:val="22"/>
          <w:szCs w:val="22"/>
          <w:lang w:val="es-CL"/>
        </w:rPr>
        <w:t>(</w:t>
      </w:r>
      <w:r>
        <w:rPr>
          <w:rFonts w:ascii="Century Gothic" w:hAnsi="Century Gothic"/>
          <w:sz w:val="22"/>
          <w:szCs w:val="22"/>
          <w:lang w:val="es-CL"/>
        </w:rPr>
        <w:t>OMV</w:t>
      </w:r>
      <w:r w:rsidR="000B3B10">
        <w:rPr>
          <w:rFonts w:ascii="Century Gothic" w:hAnsi="Century Gothic"/>
          <w:sz w:val="22"/>
          <w:szCs w:val="22"/>
          <w:lang w:val="es-CL"/>
        </w:rPr>
        <w:t>)</w:t>
      </w:r>
      <w:r>
        <w:rPr>
          <w:rFonts w:ascii="Century Gothic" w:hAnsi="Century Gothic"/>
          <w:sz w:val="22"/>
          <w:szCs w:val="22"/>
          <w:lang w:val="es-CL"/>
        </w:rPr>
        <w:t xml:space="preserve">. </w:t>
      </w:r>
    </w:p>
    <w:p w14:paraId="053DDFBE" w14:textId="1EA1216E" w:rsidR="006557B8" w:rsidRPr="00252B44" w:rsidRDefault="006557B8" w:rsidP="00AF6A53">
      <w:pPr>
        <w:pStyle w:val="HTMLconformatoprevio"/>
        <w:shd w:val="clear" w:color="auto" w:fill="FFFFFF"/>
        <w:spacing w:line="200" w:lineRule="atLeast"/>
        <w:jc w:val="both"/>
        <w:rPr>
          <w:rFonts w:ascii="Century Gothic" w:hAnsi="Century Gothic"/>
          <w:sz w:val="22"/>
          <w:szCs w:val="22"/>
          <w:lang w:val="es-CL"/>
        </w:rPr>
      </w:pPr>
    </w:p>
    <w:p w14:paraId="306E8D17" w14:textId="4BD7C906" w:rsidR="000B3B10" w:rsidRDefault="00C411AC" w:rsidP="0034371E">
      <w:pPr>
        <w:pStyle w:val="HTMLconformatoprevio"/>
        <w:shd w:val="clear" w:color="auto" w:fill="FFFFFF"/>
        <w:spacing w:line="200" w:lineRule="atLeas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De este modo, el presente reglamento incorpora obligaciones </w:t>
      </w:r>
      <w:r w:rsidR="000B3B10">
        <w:rPr>
          <w:rFonts w:ascii="Century Gothic" w:hAnsi="Century Gothic"/>
          <w:sz w:val="22"/>
          <w:szCs w:val="22"/>
        </w:rPr>
        <w:t xml:space="preserve">tanto </w:t>
      </w:r>
      <w:r w:rsidR="00252B44">
        <w:rPr>
          <w:rFonts w:ascii="Century Gothic" w:hAnsi="Century Gothic"/>
          <w:sz w:val="22"/>
          <w:szCs w:val="22"/>
        </w:rPr>
        <w:t>para los O</w:t>
      </w:r>
      <w:r>
        <w:rPr>
          <w:rFonts w:ascii="Century Gothic" w:hAnsi="Century Gothic"/>
          <w:sz w:val="22"/>
          <w:szCs w:val="22"/>
        </w:rPr>
        <w:t xml:space="preserve">peradores </w:t>
      </w:r>
      <w:r w:rsidR="00252B44">
        <w:rPr>
          <w:rFonts w:ascii="Century Gothic" w:hAnsi="Century Gothic"/>
          <w:sz w:val="22"/>
          <w:szCs w:val="22"/>
        </w:rPr>
        <w:t>M</w:t>
      </w:r>
      <w:r>
        <w:rPr>
          <w:rFonts w:ascii="Century Gothic" w:hAnsi="Century Gothic"/>
          <w:sz w:val="22"/>
          <w:szCs w:val="22"/>
        </w:rPr>
        <w:t xml:space="preserve">óviles </w:t>
      </w:r>
      <w:r w:rsidR="00252B44">
        <w:rPr>
          <w:rFonts w:ascii="Century Gothic" w:hAnsi="Century Gothic"/>
          <w:sz w:val="22"/>
          <w:szCs w:val="22"/>
        </w:rPr>
        <w:t>de R</w:t>
      </w:r>
      <w:r>
        <w:rPr>
          <w:rFonts w:ascii="Century Gothic" w:hAnsi="Century Gothic"/>
          <w:sz w:val="22"/>
          <w:szCs w:val="22"/>
        </w:rPr>
        <w:t>ed</w:t>
      </w:r>
      <w:r w:rsidR="000B3B10">
        <w:rPr>
          <w:rFonts w:ascii="Century Gothic" w:hAnsi="Century Gothic"/>
          <w:sz w:val="22"/>
          <w:szCs w:val="22"/>
        </w:rPr>
        <w:t xml:space="preserve"> (OMR)</w:t>
      </w:r>
      <w:r w:rsidR="00252B44">
        <w:rPr>
          <w:rFonts w:ascii="Century Gothic" w:hAnsi="Century Gothic"/>
          <w:sz w:val="22"/>
          <w:szCs w:val="22"/>
        </w:rPr>
        <w:t xml:space="preserve"> como para los O</w:t>
      </w:r>
      <w:r w:rsidR="000B3B10">
        <w:rPr>
          <w:rFonts w:ascii="Century Gothic" w:hAnsi="Century Gothic"/>
          <w:sz w:val="22"/>
          <w:szCs w:val="22"/>
        </w:rPr>
        <w:t xml:space="preserve">peradores </w:t>
      </w:r>
      <w:r w:rsidR="00252B44">
        <w:rPr>
          <w:rFonts w:ascii="Century Gothic" w:hAnsi="Century Gothic"/>
          <w:sz w:val="22"/>
          <w:szCs w:val="22"/>
        </w:rPr>
        <w:t>M</w:t>
      </w:r>
      <w:r w:rsidR="000B3B10">
        <w:rPr>
          <w:rFonts w:ascii="Century Gothic" w:hAnsi="Century Gothic"/>
          <w:sz w:val="22"/>
          <w:szCs w:val="22"/>
        </w:rPr>
        <w:t xml:space="preserve">óviles </w:t>
      </w:r>
      <w:r w:rsidR="00252B44">
        <w:rPr>
          <w:rFonts w:ascii="Century Gothic" w:hAnsi="Century Gothic"/>
          <w:sz w:val="22"/>
          <w:szCs w:val="22"/>
        </w:rPr>
        <w:t>V</w:t>
      </w:r>
      <w:r w:rsidR="000B3B10">
        <w:rPr>
          <w:rFonts w:ascii="Century Gothic" w:hAnsi="Century Gothic"/>
          <w:sz w:val="22"/>
          <w:szCs w:val="22"/>
        </w:rPr>
        <w:t xml:space="preserve">irtuales (OMV). </w:t>
      </w:r>
      <w:r w:rsidR="007908F0">
        <w:rPr>
          <w:rFonts w:ascii="Century Gothic" w:hAnsi="Century Gothic"/>
          <w:sz w:val="22"/>
          <w:szCs w:val="22"/>
        </w:rPr>
        <w:t>Lo anterior, con la finalidad de evitar la existencia de</w:t>
      </w:r>
      <w:r w:rsidR="00781579">
        <w:rPr>
          <w:rFonts w:ascii="Century Gothic" w:hAnsi="Century Gothic"/>
          <w:sz w:val="22"/>
          <w:szCs w:val="22"/>
        </w:rPr>
        <w:t xml:space="preserve"> condiciones discriminatorias y/o barreras de entrada</w:t>
      </w:r>
      <w:r w:rsidR="007908F0">
        <w:rPr>
          <w:rFonts w:ascii="Century Gothic" w:hAnsi="Century Gothic"/>
          <w:sz w:val="22"/>
          <w:szCs w:val="22"/>
        </w:rPr>
        <w:t xml:space="preserve"> para aquellos </w:t>
      </w:r>
      <w:r w:rsidR="00781579">
        <w:rPr>
          <w:rFonts w:ascii="Century Gothic" w:hAnsi="Century Gothic"/>
          <w:sz w:val="22"/>
          <w:szCs w:val="22"/>
        </w:rPr>
        <w:t xml:space="preserve">operadores que no disponen de espectro radioeléctrico </w:t>
      </w:r>
      <w:r w:rsidR="007908F0">
        <w:rPr>
          <w:rFonts w:ascii="Century Gothic" w:hAnsi="Century Gothic"/>
          <w:sz w:val="22"/>
          <w:szCs w:val="22"/>
        </w:rPr>
        <w:t xml:space="preserve">y utilicen medios de terceros en la prestación de sus servicios. </w:t>
      </w:r>
    </w:p>
    <w:p w14:paraId="5EF37482" w14:textId="77777777" w:rsidR="007908F0" w:rsidRDefault="007908F0" w:rsidP="0034371E">
      <w:pPr>
        <w:pStyle w:val="HTMLconformatoprevio"/>
        <w:shd w:val="clear" w:color="auto" w:fill="FFFFFF"/>
        <w:spacing w:line="200" w:lineRule="atLeast"/>
        <w:jc w:val="both"/>
        <w:rPr>
          <w:rFonts w:ascii="Century Gothic" w:hAnsi="Century Gothic"/>
          <w:sz w:val="22"/>
          <w:szCs w:val="22"/>
        </w:rPr>
      </w:pPr>
    </w:p>
    <w:p w14:paraId="3CC98E59" w14:textId="77777777" w:rsidR="007908F0" w:rsidRPr="00B3233E" w:rsidRDefault="007908F0" w:rsidP="0034371E">
      <w:pPr>
        <w:pStyle w:val="HTMLconformatoprevio"/>
        <w:shd w:val="clear" w:color="auto" w:fill="FFFFFF"/>
        <w:spacing w:line="200" w:lineRule="atLeast"/>
        <w:jc w:val="both"/>
        <w:rPr>
          <w:rFonts w:ascii="Century Gothic" w:hAnsi="Century Gothic" w:cs="Arial"/>
          <w:sz w:val="22"/>
          <w:szCs w:val="22"/>
        </w:rPr>
      </w:pPr>
    </w:p>
    <w:p w14:paraId="4DA768F1" w14:textId="652495F4" w:rsidR="00B3233E" w:rsidRDefault="00083D8A" w:rsidP="00083D8A">
      <w:pPr>
        <w:pStyle w:val="Default"/>
        <w:tabs>
          <w:tab w:val="left" w:pos="8051"/>
        </w:tabs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II DESCRIPCIÓN DE LA ESTRUCTURA </w:t>
      </w:r>
      <w:r w:rsidR="005725D6">
        <w:rPr>
          <w:rFonts w:ascii="Century Gothic" w:hAnsi="Century Gothic" w:cs="Arial"/>
          <w:b/>
          <w:bCs/>
          <w:sz w:val="22"/>
          <w:szCs w:val="22"/>
        </w:rPr>
        <w:t xml:space="preserve">DEL REGLAMENTO </w:t>
      </w:r>
      <w:r>
        <w:rPr>
          <w:rFonts w:ascii="Century Gothic" w:hAnsi="Century Gothic" w:cs="Arial"/>
          <w:b/>
          <w:bCs/>
          <w:sz w:val="22"/>
          <w:szCs w:val="22"/>
        </w:rPr>
        <w:tab/>
        <w:t xml:space="preserve"> </w:t>
      </w:r>
    </w:p>
    <w:p w14:paraId="2A71B2BB" w14:textId="77777777" w:rsidR="00B3233E" w:rsidRDefault="00B3233E" w:rsidP="00B3233E">
      <w:pPr>
        <w:pStyle w:val="Default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36F0BC64" w14:textId="6B7674FF" w:rsidR="00083D8A" w:rsidRDefault="00AF6A53" w:rsidP="00083D8A">
      <w:pPr>
        <w:pStyle w:val="HTMLconformatoprevio"/>
        <w:shd w:val="clear" w:color="auto" w:fill="FFFFFF"/>
        <w:spacing w:line="200" w:lineRule="atLeast"/>
        <w:jc w:val="both"/>
        <w:rPr>
          <w:rFonts w:ascii="Century Gothic" w:hAnsi="Century Gothic"/>
          <w:sz w:val="22"/>
          <w:szCs w:val="22"/>
        </w:rPr>
      </w:pPr>
      <w:r w:rsidRPr="00B40D51">
        <w:rPr>
          <w:rFonts w:ascii="Century Gothic" w:hAnsi="Century Gothic"/>
          <w:sz w:val="22"/>
          <w:szCs w:val="22"/>
        </w:rPr>
        <w:t xml:space="preserve">El objetivo del </w:t>
      </w:r>
      <w:r w:rsidR="00083D8A">
        <w:rPr>
          <w:rFonts w:ascii="Century Gothic" w:hAnsi="Century Gothic"/>
          <w:sz w:val="22"/>
          <w:szCs w:val="22"/>
        </w:rPr>
        <w:t>presente reglamento es</w:t>
      </w:r>
      <w:r w:rsidR="00F81E5D">
        <w:rPr>
          <w:rFonts w:ascii="Century Gothic" w:hAnsi="Century Gothic"/>
          <w:sz w:val="22"/>
          <w:szCs w:val="22"/>
        </w:rPr>
        <w:t xml:space="preserve"> principalmente</w:t>
      </w:r>
      <w:r w:rsidR="00083D8A">
        <w:rPr>
          <w:rFonts w:ascii="Century Gothic" w:hAnsi="Century Gothic"/>
          <w:sz w:val="22"/>
          <w:szCs w:val="22"/>
        </w:rPr>
        <w:t xml:space="preserve"> regular</w:t>
      </w:r>
      <w:r w:rsidR="00F81E5D">
        <w:rPr>
          <w:rFonts w:ascii="Century Gothic" w:hAnsi="Century Gothic"/>
          <w:sz w:val="22"/>
          <w:szCs w:val="22"/>
        </w:rPr>
        <w:t xml:space="preserve"> la forma y condiciones que deben </w:t>
      </w:r>
      <w:r w:rsidR="0034371E">
        <w:rPr>
          <w:rFonts w:ascii="Century Gothic" w:hAnsi="Century Gothic"/>
          <w:sz w:val="22"/>
          <w:szCs w:val="22"/>
        </w:rPr>
        <w:t>contener aquellas ofertas de facilidades</w:t>
      </w:r>
      <w:r w:rsidR="0004290B">
        <w:rPr>
          <w:rFonts w:ascii="Century Gothic" w:hAnsi="Century Gothic"/>
          <w:sz w:val="22"/>
          <w:szCs w:val="22"/>
        </w:rPr>
        <w:t xml:space="preserve"> y reventa de planes</w:t>
      </w:r>
      <w:r w:rsidR="0034371E">
        <w:rPr>
          <w:rFonts w:ascii="Century Gothic" w:hAnsi="Century Gothic"/>
          <w:sz w:val="22"/>
          <w:szCs w:val="22"/>
        </w:rPr>
        <w:t xml:space="preserve"> que los operadores móviles de red ofrezcan a los operadores móviles virtuales. </w:t>
      </w:r>
    </w:p>
    <w:p w14:paraId="4492BC52" w14:textId="77777777" w:rsidR="0034371E" w:rsidRDefault="0034371E" w:rsidP="00083D8A">
      <w:pPr>
        <w:pStyle w:val="HTMLconformatoprevio"/>
        <w:shd w:val="clear" w:color="auto" w:fill="FFFFFF"/>
        <w:spacing w:line="200" w:lineRule="atLeast"/>
        <w:jc w:val="both"/>
        <w:rPr>
          <w:rFonts w:ascii="Century Gothic" w:hAnsi="Century Gothic"/>
          <w:sz w:val="22"/>
          <w:szCs w:val="22"/>
        </w:rPr>
      </w:pPr>
    </w:p>
    <w:p w14:paraId="62570082" w14:textId="1EEFB6D7" w:rsidR="00083D8A" w:rsidRDefault="00083D8A" w:rsidP="00083D8A">
      <w:pPr>
        <w:pStyle w:val="HTMLconformatoprevio"/>
        <w:shd w:val="clear" w:color="auto" w:fill="FFFFFF"/>
        <w:spacing w:line="200" w:lineRule="atLeas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La estructura del</w:t>
      </w:r>
      <w:r w:rsidR="00AF6A53" w:rsidRPr="00B40D51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Reglamento es el siguiente:</w:t>
      </w:r>
    </w:p>
    <w:p w14:paraId="29849DFB" w14:textId="5D8A551A" w:rsidR="00B3233E" w:rsidRPr="00B40D51" w:rsidRDefault="003C39D9" w:rsidP="00083D8A">
      <w:pPr>
        <w:pStyle w:val="HTMLconformatoprevio"/>
        <w:shd w:val="clear" w:color="auto" w:fill="FFFFFF"/>
        <w:spacing w:line="200" w:lineRule="atLeas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</w:t>
      </w:r>
    </w:p>
    <w:p w14:paraId="5CC2A97B" w14:textId="77777777" w:rsidR="00A1109C" w:rsidRPr="00A1109C" w:rsidRDefault="003C39D9" w:rsidP="00B40D51">
      <w:pPr>
        <w:pStyle w:val="Prrafodelista"/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entury Gothic" w:hAnsi="Century Gothic"/>
        </w:rPr>
      </w:pPr>
      <w:r w:rsidRPr="00A1109C">
        <w:rPr>
          <w:rFonts w:ascii="Century Gothic" w:hAnsi="Century Gothic" w:cs="Consolas"/>
        </w:rPr>
        <w:t>TÍTULO I:</w:t>
      </w:r>
      <w:r w:rsidR="00F81E5D" w:rsidRPr="00A1109C">
        <w:rPr>
          <w:rFonts w:ascii="Century Gothic" w:hAnsi="Century Gothic" w:cs="Consolas"/>
        </w:rPr>
        <w:t xml:space="preserve"> Definiciones y disposiciones generales</w:t>
      </w:r>
      <w:r w:rsidRPr="00A1109C">
        <w:rPr>
          <w:rFonts w:ascii="Century Gothic" w:hAnsi="Century Gothic" w:cs="Consolas"/>
        </w:rPr>
        <w:t>.</w:t>
      </w:r>
    </w:p>
    <w:p w14:paraId="20D702E9" w14:textId="77777777" w:rsidR="00A1109C" w:rsidRDefault="00B3233E" w:rsidP="00B40D51">
      <w:pPr>
        <w:pStyle w:val="Prrafodelista"/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entury Gothic" w:hAnsi="Century Gothic"/>
        </w:rPr>
      </w:pPr>
      <w:r w:rsidRPr="00A1109C">
        <w:rPr>
          <w:rFonts w:ascii="Century Gothic" w:hAnsi="Century Gothic"/>
        </w:rPr>
        <w:t xml:space="preserve">TÍTULO II: </w:t>
      </w:r>
      <w:r w:rsidR="00A1109C" w:rsidRPr="00A1109C">
        <w:rPr>
          <w:rFonts w:ascii="Century Gothic" w:hAnsi="Century Gothic"/>
        </w:rPr>
        <w:t>De</w:t>
      </w:r>
      <w:r w:rsidR="00F81E5D" w:rsidRPr="00A1109C">
        <w:rPr>
          <w:rFonts w:ascii="Century Gothic" w:hAnsi="Century Gothic"/>
        </w:rPr>
        <w:t xml:space="preserve"> la oferta de servicios mayoristas.</w:t>
      </w:r>
    </w:p>
    <w:p w14:paraId="1AB11EE9" w14:textId="739770FE" w:rsidR="00B3233E" w:rsidRPr="00A1109C" w:rsidRDefault="00B3233E" w:rsidP="00B40D51">
      <w:pPr>
        <w:pStyle w:val="Prrafodelista"/>
        <w:numPr>
          <w:ilvl w:val="0"/>
          <w:numId w:val="3"/>
        </w:numPr>
        <w:shd w:val="clear" w:color="auto" w:fill="FFFFFF"/>
        <w:spacing w:line="200" w:lineRule="atLeast"/>
        <w:jc w:val="both"/>
        <w:rPr>
          <w:rFonts w:ascii="Century Gothic" w:hAnsi="Century Gothic"/>
        </w:rPr>
      </w:pPr>
      <w:r w:rsidRPr="00A1109C">
        <w:rPr>
          <w:rFonts w:ascii="Century Gothic" w:hAnsi="Century Gothic"/>
        </w:rPr>
        <w:t xml:space="preserve">TÍTULO III: </w:t>
      </w:r>
      <w:r w:rsidR="00A1109C" w:rsidRPr="00A1109C">
        <w:rPr>
          <w:rFonts w:ascii="Century Gothic" w:hAnsi="Century Gothic"/>
        </w:rPr>
        <w:t xml:space="preserve">Del acuerdo de servicios mayoristas y otras disposiciones. </w:t>
      </w:r>
    </w:p>
    <w:p w14:paraId="0CA0B458" w14:textId="77777777" w:rsidR="003C39D9" w:rsidRPr="00B3233E" w:rsidRDefault="003C39D9" w:rsidP="00B3233E">
      <w:pPr>
        <w:pStyle w:val="Default"/>
        <w:jc w:val="both"/>
        <w:rPr>
          <w:rFonts w:ascii="Century Gothic" w:hAnsi="Century Gothic" w:cs="Arial"/>
          <w:sz w:val="23"/>
          <w:szCs w:val="23"/>
        </w:rPr>
      </w:pPr>
    </w:p>
    <w:p w14:paraId="659699EC" w14:textId="706B9917" w:rsidR="00B3233E" w:rsidRDefault="00B3233E" w:rsidP="00B3233E">
      <w:pPr>
        <w:pStyle w:val="Default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B3233E">
        <w:rPr>
          <w:rFonts w:ascii="Century Gothic" w:hAnsi="Century Gothic" w:cs="Arial"/>
          <w:b/>
          <w:bCs/>
          <w:sz w:val="22"/>
          <w:szCs w:val="22"/>
        </w:rPr>
        <w:t>II</w:t>
      </w:r>
      <w:r w:rsidR="00514972">
        <w:rPr>
          <w:rFonts w:ascii="Century Gothic" w:hAnsi="Century Gothic" w:cs="Arial"/>
          <w:b/>
          <w:bCs/>
          <w:sz w:val="22"/>
          <w:szCs w:val="22"/>
        </w:rPr>
        <w:t>I</w:t>
      </w:r>
      <w:r w:rsidRPr="00B3233E">
        <w:rPr>
          <w:rFonts w:ascii="Century Gothic" w:hAnsi="Century Gothic" w:cs="Arial"/>
          <w:b/>
          <w:bCs/>
          <w:sz w:val="22"/>
          <w:szCs w:val="22"/>
        </w:rPr>
        <w:t xml:space="preserve"> CONCLUSIÓN </w:t>
      </w:r>
    </w:p>
    <w:p w14:paraId="5D9BCFB8" w14:textId="77777777" w:rsidR="00B3233E" w:rsidRPr="00B3233E" w:rsidRDefault="00B3233E" w:rsidP="00B3233E">
      <w:pPr>
        <w:pStyle w:val="Default"/>
        <w:jc w:val="both"/>
        <w:rPr>
          <w:rFonts w:ascii="Century Gothic" w:hAnsi="Century Gothic" w:cs="Arial"/>
          <w:sz w:val="22"/>
          <w:szCs w:val="22"/>
        </w:rPr>
      </w:pPr>
    </w:p>
    <w:p w14:paraId="3D7CAFA5" w14:textId="29555160" w:rsidR="00B3233E" w:rsidRPr="00B3233E" w:rsidRDefault="00B3233E" w:rsidP="00B3233E">
      <w:pPr>
        <w:jc w:val="both"/>
        <w:rPr>
          <w:rFonts w:ascii="Century Gothic" w:hAnsi="Century Gothic" w:cs="Arial"/>
        </w:rPr>
      </w:pPr>
      <w:r w:rsidRPr="00B3233E">
        <w:rPr>
          <w:rFonts w:ascii="Century Gothic" w:hAnsi="Century Gothic" w:cs="Arial"/>
          <w:sz w:val="23"/>
          <w:szCs w:val="23"/>
        </w:rPr>
        <w:t>Tenien</w:t>
      </w:r>
      <w:r>
        <w:rPr>
          <w:rFonts w:ascii="Century Gothic" w:hAnsi="Century Gothic" w:cs="Arial"/>
          <w:sz w:val="23"/>
          <w:szCs w:val="23"/>
        </w:rPr>
        <w:t xml:space="preserve">do en cuenta, la importancia de la participación ciudadana, así como el efecto que estas modificaciones puedan tener </w:t>
      </w:r>
      <w:r w:rsidR="00514972">
        <w:rPr>
          <w:rFonts w:ascii="Century Gothic" w:hAnsi="Century Gothic" w:cs="Arial"/>
          <w:sz w:val="23"/>
          <w:szCs w:val="23"/>
        </w:rPr>
        <w:t xml:space="preserve">tanto </w:t>
      </w:r>
      <w:r>
        <w:rPr>
          <w:rFonts w:ascii="Century Gothic" w:hAnsi="Century Gothic" w:cs="Arial"/>
          <w:sz w:val="23"/>
          <w:szCs w:val="23"/>
        </w:rPr>
        <w:t xml:space="preserve">en las </w:t>
      </w:r>
      <w:r w:rsidRPr="00B3233E">
        <w:rPr>
          <w:rFonts w:ascii="Century Gothic" w:hAnsi="Century Gothic" w:cs="Arial"/>
          <w:sz w:val="23"/>
          <w:szCs w:val="23"/>
        </w:rPr>
        <w:t>actuales y futuras concesionarias</w:t>
      </w:r>
      <w:r w:rsidR="001D5161">
        <w:rPr>
          <w:rFonts w:ascii="Century Gothic" w:hAnsi="Century Gothic" w:cs="Arial"/>
          <w:sz w:val="23"/>
          <w:szCs w:val="23"/>
        </w:rPr>
        <w:t xml:space="preserve"> </w:t>
      </w:r>
      <w:r w:rsidR="00514972">
        <w:rPr>
          <w:rFonts w:ascii="Century Gothic" w:hAnsi="Century Gothic" w:cs="Arial"/>
          <w:sz w:val="23"/>
          <w:szCs w:val="23"/>
        </w:rPr>
        <w:t>de servicios de telecomunicacion</w:t>
      </w:r>
      <w:r w:rsidR="003C39D9">
        <w:rPr>
          <w:rFonts w:ascii="Century Gothic" w:hAnsi="Century Gothic" w:cs="Arial"/>
          <w:sz w:val="23"/>
          <w:szCs w:val="23"/>
        </w:rPr>
        <w:t>es</w:t>
      </w:r>
      <w:r>
        <w:rPr>
          <w:rFonts w:ascii="Century Gothic" w:hAnsi="Century Gothic" w:cs="Arial"/>
          <w:sz w:val="23"/>
          <w:szCs w:val="23"/>
        </w:rPr>
        <w:t>,</w:t>
      </w:r>
      <w:r w:rsidR="00514972">
        <w:rPr>
          <w:rFonts w:ascii="Century Gothic" w:hAnsi="Century Gothic" w:cs="Arial"/>
          <w:sz w:val="23"/>
          <w:szCs w:val="23"/>
        </w:rPr>
        <w:t xml:space="preserve"> como en sus usuarios,</w:t>
      </w:r>
      <w:r>
        <w:rPr>
          <w:rFonts w:ascii="Century Gothic" w:hAnsi="Century Gothic" w:cs="Arial"/>
          <w:sz w:val="23"/>
          <w:szCs w:val="23"/>
        </w:rPr>
        <w:t xml:space="preserve"> </w:t>
      </w:r>
      <w:r w:rsidRPr="00B3233E">
        <w:rPr>
          <w:rFonts w:ascii="Century Gothic" w:hAnsi="Century Gothic" w:cs="Arial"/>
          <w:sz w:val="23"/>
          <w:szCs w:val="23"/>
        </w:rPr>
        <w:t>se ha resuelto someter a Consulta Ciudadana la propuesta reglamentaria antes mencionada.</w:t>
      </w:r>
    </w:p>
    <w:sectPr w:rsidR="00B3233E" w:rsidRPr="00B32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F07"/>
    <w:multiLevelType w:val="hybridMultilevel"/>
    <w:tmpl w:val="FC285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175BC"/>
    <w:multiLevelType w:val="hybridMultilevel"/>
    <w:tmpl w:val="E36EB0E6"/>
    <w:lvl w:ilvl="0" w:tplc="0FB878B2">
      <w:start w:val="1"/>
      <w:numFmt w:val="ordinal"/>
      <w:lvlText w:val="Artículo 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-4389" w:hanging="360"/>
      </w:pPr>
    </w:lvl>
    <w:lvl w:ilvl="2" w:tplc="340A001B" w:tentative="1">
      <w:start w:val="1"/>
      <w:numFmt w:val="lowerRoman"/>
      <w:lvlText w:val="%3."/>
      <w:lvlJc w:val="right"/>
      <w:pPr>
        <w:ind w:left="-3669" w:hanging="180"/>
      </w:pPr>
    </w:lvl>
    <w:lvl w:ilvl="3" w:tplc="340A000F" w:tentative="1">
      <w:start w:val="1"/>
      <w:numFmt w:val="decimal"/>
      <w:lvlText w:val="%4."/>
      <w:lvlJc w:val="left"/>
      <w:pPr>
        <w:ind w:left="-2949" w:hanging="360"/>
      </w:pPr>
    </w:lvl>
    <w:lvl w:ilvl="4" w:tplc="340A0019" w:tentative="1">
      <w:start w:val="1"/>
      <w:numFmt w:val="lowerLetter"/>
      <w:lvlText w:val="%5."/>
      <w:lvlJc w:val="left"/>
      <w:pPr>
        <w:ind w:left="-2229" w:hanging="360"/>
      </w:pPr>
    </w:lvl>
    <w:lvl w:ilvl="5" w:tplc="340A001B" w:tentative="1">
      <w:start w:val="1"/>
      <w:numFmt w:val="lowerRoman"/>
      <w:lvlText w:val="%6."/>
      <w:lvlJc w:val="right"/>
      <w:pPr>
        <w:ind w:left="-1509" w:hanging="180"/>
      </w:pPr>
    </w:lvl>
    <w:lvl w:ilvl="6" w:tplc="340A000F" w:tentative="1">
      <w:start w:val="1"/>
      <w:numFmt w:val="decimal"/>
      <w:lvlText w:val="%7."/>
      <w:lvlJc w:val="left"/>
      <w:pPr>
        <w:ind w:left="-789" w:hanging="360"/>
      </w:pPr>
    </w:lvl>
    <w:lvl w:ilvl="7" w:tplc="340A0019" w:tentative="1">
      <w:start w:val="1"/>
      <w:numFmt w:val="lowerLetter"/>
      <w:lvlText w:val="%8."/>
      <w:lvlJc w:val="left"/>
      <w:pPr>
        <w:ind w:left="-69" w:hanging="360"/>
      </w:pPr>
    </w:lvl>
    <w:lvl w:ilvl="8" w:tplc="340A001B" w:tentative="1">
      <w:start w:val="1"/>
      <w:numFmt w:val="lowerRoman"/>
      <w:lvlText w:val="%9."/>
      <w:lvlJc w:val="right"/>
      <w:pPr>
        <w:ind w:left="651" w:hanging="180"/>
      </w:pPr>
    </w:lvl>
  </w:abstractNum>
  <w:abstractNum w:abstractNumId="2">
    <w:nsid w:val="71A2115D"/>
    <w:multiLevelType w:val="hybridMultilevel"/>
    <w:tmpl w:val="7DF494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3E"/>
    <w:rsid w:val="0004290B"/>
    <w:rsid w:val="00083D8A"/>
    <w:rsid w:val="000B3B10"/>
    <w:rsid w:val="001D5161"/>
    <w:rsid w:val="00252B44"/>
    <w:rsid w:val="0034371E"/>
    <w:rsid w:val="00350726"/>
    <w:rsid w:val="003C39D9"/>
    <w:rsid w:val="00495319"/>
    <w:rsid w:val="004B3AD5"/>
    <w:rsid w:val="00514972"/>
    <w:rsid w:val="00541649"/>
    <w:rsid w:val="005725D6"/>
    <w:rsid w:val="00594920"/>
    <w:rsid w:val="005B751F"/>
    <w:rsid w:val="0060023A"/>
    <w:rsid w:val="006557B8"/>
    <w:rsid w:val="00680A3A"/>
    <w:rsid w:val="006E6FAF"/>
    <w:rsid w:val="00736589"/>
    <w:rsid w:val="00781579"/>
    <w:rsid w:val="007908F0"/>
    <w:rsid w:val="007E1607"/>
    <w:rsid w:val="00822DB7"/>
    <w:rsid w:val="00884C12"/>
    <w:rsid w:val="009573DF"/>
    <w:rsid w:val="00A1109C"/>
    <w:rsid w:val="00AF6A53"/>
    <w:rsid w:val="00B22CFA"/>
    <w:rsid w:val="00B3233E"/>
    <w:rsid w:val="00B40D51"/>
    <w:rsid w:val="00B92E84"/>
    <w:rsid w:val="00BE3948"/>
    <w:rsid w:val="00C411AC"/>
    <w:rsid w:val="00C5367E"/>
    <w:rsid w:val="00D457F6"/>
    <w:rsid w:val="00D74AF1"/>
    <w:rsid w:val="00F81E5D"/>
    <w:rsid w:val="00FD430A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DB93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5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2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3233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AF6A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6A53"/>
    <w:rPr>
      <w:rFonts w:ascii="Consolas" w:eastAsia="Calibri" w:hAnsi="Consolas" w:cs="Consolas"/>
      <w:sz w:val="20"/>
      <w:szCs w:val="20"/>
      <w:lang w:val="es-ES"/>
    </w:rPr>
  </w:style>
  <w:style w:type="character" w:styleId="Refdecomentario">
    <w:name w:val="annotation reference"/>
    <w:basedOn w:val="Fuentedeprrafopredeter"/>
    <w:semiHidden/>
    <w:unhideWhenUsed/>
    <w:rsid w:val="00AF6A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F6A5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F6A5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A53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5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2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3233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AF6A5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F6A53"/>
    <w:rPr>
      <w:rFonts w:ascii="Consolas" w:eastAsia="Calibri" w:hAnsi="Consolas" w:cs="Consolas"/>
      <w:sz w:val="20"/>
      <w:szCs w:val="20"/>
      <w:lang w:val="es-ES"/>
    </w:rPr>
  </w:style>
  <w:style w:type="character" w:styleId="Refdecomentario">
    <w:name w:val="annotation reference"/>
    <w:basedOn w:val="Fuentedeprrafopredeter"/>
    <w:semiHidden/>
    <w:unhideWhenUsed/>
    <w:rsid w:val="00AF6A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F6A5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F6A5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A53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AC45-24DD-4156-B806-694AF3F3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Marcela  Aliste Aliste</cp:lastModifiedBy>
  <cp:revision>2</cp:revision>
  <dcterms:created xsi:type="dcterms:W3CDTF">2017-07-10T14:41:00Z</dcterms:created>
  <dcterms:modified xsi:type="dcterms:W3CDTF">2017-07-10T14:41:00Z</dcterms:modified>
</cp:coreProperties>
</file>