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AE88B" w14:textId="77777777" w:rsidR="00B3233E" w:rsidRDefault="00B3233E"/>
    <w:p w14:paraId="76C7C57B" w14:textId="77777777" w:rsidR="00B3233E" w:rsidRPr="00B3233E" w:rsidRDefault="00B3233E" w:rsidP="00B3233E">
      <w:pPr>
        <w:pStyle w:val="Default"/>
        <w:jc w:val="both"/>
        <w:rPr>
          <w:rFonts w:ascii="Arial" w:hAnsi="Arial" w:cs="Arial"/>
        </w:rPr>
      </w:pPr>
    </w:p>
    <w:p w14:paraId="68EFE73B" w14:textId="77777777" w:rsidR="00B3233E" w:rsidRPr="00B3233E" w:rsidRDefault="00B22CFA" w:rsidP="00B3233E">
      <w:pPr>
        <w:pStyle w:val="Default"/>
        <w:jc w:val="both"/>
        <w:rPr>
          <w:rFonts w:ascii="Century Gothic" w:hAnsi="Century Gothic" w:cs="Arial"/>
          <w:sz w:val="22"/>
          <w:szCs w:val="22"/>
        </w:rPr>
      </w:pPr>
      <w:r>
        <w:rPr>
          <w:rFonts w:ascii="Century Gothic" w:hAnsi="Century Gothic" w:cs="Arial"/>
          <w:b/>
          <w:bCs/>
          <w:sz w:val="22"/>
          <w:szCs w:val="22"/>
        </w:rPr>
        <w:t xml:space="preserve">CONSULTA PÚBLICA PLAN </w:t>
      </w:r>
      <w:bookmarkStart w:id="0" w:name="_GoBack"/>
      <w:bookmarkEnd w:id="0"/>
      <w:r w:rsidR="00B3233E">
        <w:rPr>
          <w:rFonts w:ascii="Century Gothic" w:hAnsi="Century Gothic" w:cs="Arial"/>
          <w:b/>
          <w:bCs/>
          <w:sz w:val="22"/>
          <w:szCs w:val="22"/>
        </w:rPr>
        <w:t>TÉCNICO FUNDAMENTAL DE ENCAMINAMIENTO</w:t>
      </w:r>
    </w:p>
    <w:p w14:paraId="5686C3D5" w14:textId="77777777" w:rsidR="00B3233E" w:rsidRPr="00B3233E" w:rsidRDefault="00B3233E" w:rsidP="00B3233E">
      <w:pPr>
        <w:pStyle w:val="Default"/>
        <w:jc w:val="both"/>
        <w:rPr>
          <w:rFonts w:ascii="Century Gothic" w:hAnsi="Century Gothic" w:cs="Arial"/>
          <w:b/>
          <w:bCs/>
          <w:sz w:val="22"/>
          <w:szCs w:val="22"/>
        </w:rPr>
      </w:pPr>
    </w:p>
    <w:p w14:paraId="0B13B6D2" w14:textId="77777777" w:rsidR="00B3233E" w:rsidRDefault="00B3233E" w:rsidP="00B3233E">
      <w:pPr>
        <w:pStyle w:val="Default"/>
        <w:jc w:val="both"/>
        <w:rPr>
          <w:rFonts w:ascii="Century Gothic" w:hAnsi="Century Gothic" w:cs="Arial"/>
          <w:b/>
          <w:bCs/>
          <w:sz w:val="22"/>
          <w:szCs w:val="22"/>
        </w:rPr>
      </w:pPr>
    </w:p>
    <w:p w14:paraId="0E59541C" w14:textId="77777777" w:rsidR="00B3233E" w:rsidRDefault="00B3233E" w:rsidP="00B3233E">
      <w:pPr>
        <w:pStyle w:val="Default"/>
        <w:jc w:val="both"/>
        <w:rPr>
          <w:rFonts w:ascii="Century Gothic" w:hAnsi="Century Gothic" w:cs="Arial"/>
          <w:b/>
          <w:bCs/>
          <w:sz w:val="22"/>
          <w:szCs w:val="22"/>
        </w:rPr>
      </w:pPr>
      <w:r w:rsidRPr="00B3233E">
        <w:rPr>
          <w:rFonts w:ascii="Century Gothic" w:hAnsi="Century Gothic" w:cs="Arial"/>
          <w:b/>
          <w:bCs/>
          <w:sz w:val="22"/>
          <w:szCs w:val="22"/>
        </w:rPr>
        <w:t xml:space="preserve">I INTRODUCCIÓN </w:t>
      </w:r>
    </w:p>
    <w:p w14:paraId="13FC6408" w14:textId="77777777" w:rsidR="00B3233E" w:rsidRPr="00B3233E" w:rsidRDefault="00B3233E" w:rsidP="00B3233E">
      <w:pPr>
        <w:pStyle w:val="Default"/>
        <w:jc w:val="both"/>
        <w:rPr>
          <w:rFonts w:ascii="Century Gothic" w:hAnsi="Century Gothic" w:cs="Arial"/>
          <w:sz w:val="22"/>
          <w:szCs w:val="22"/>
        </w:rPr>
      </w:pPr>
    </w:p>
    <w:p w14:paraId="549640AD" w14:textId="77777777" w:rsidR="00AF6A53" w:rsidRPr="00B40D51" w:rsidRDefault="00AF6A53" w:rsidP="00AF6A53">
      <w:pPr>
        <w:pStyle w:val="HTMLconformatoprevio"/>
        <w:shd w:val="clear" w:color="auto" w:fill="FFFFFF"/>
        <w:spacing w:line="200" w:lineRule="atLeast"/>
        <w:jc w:val="both"/>
        <w:rPr>
          <w:rFonts w:ascii="Century Gothic" w:hAnsi="Century Gothic"/>
          <w:sz w:val="22"/>
          <w:szCs w:val="22"/>
        </w:rPr>
      </w:pPr>
      <w:r w:rsidRPr="00B40D51">
        <w:rPr>
          <w:rFonts w:ascii="Century Gothic" w:hAnsi="Century Gothic"/>
          <w:sz w:val="22"/>
          <w:szCs w:val="22"/>
        </w:rPr>
        <w:t xml:space="preserve">Actualmente se encuentra vigente el Plan Técnico Fundamental (PTF) de Encaminamiento Telefónico, Decreto 746,  promulgado el 20 de Diciembre de 1999, el que buscaba adecuar  la reglamentación al estado de la tecnología de ese momento -donde la telefonía ocupaba el lugar más importante- y, con ello, a los nuevos servicios que las concesionarias de telecomunicaciones podían proveer tanto a sus usuarios como a otras concesionarias a través de las interconexiones, buscando mejorar la competencia en la provisión de los servicios mediante el uso eficiente de la red pública telefónica. </w:t>
      </w:r>
    </w:p>
    <w:p w14:paraId="233C086A" w14:textId="77777777" w:rsidR="00AF6A53" w:rsidRPr="00B40D51" w:rsidRDefault="00AF6A53" w:rsidP="00AF6A53">
      <w:pPr>
        <w:pStyle w:val="HTMLconformatoprevio"/>
        <w:shd w:val="clear" w:color="auto" w:fill="FFFFFF"/>
        <w:spacing w:line="200" w:lineRule="atLeast"/>
        <w:jc w:val="both"/>
        <w:rPr>
          <w:rFonts w:ascii="Century Gothic" w:hAnsi="Century Gothic"/>
          <w:sz w:val="22"/>
          <w:szCs w:val="22"/>
        </w:rPr>
      </w:pPr>
      <w:r w:rsidRPr="00B40D51">
        <w:rPr>
          <w:rFonts w:ascii="Century Gothic" w:hAnsi="Century Gothic"/>
          <w:sz w:val="22"/>
          <w:szCs w:val="22"/>
        </w:rPr>
        <w:t>Dicho Plan fue modificado a través del Decreto 125, del 08 de Junio de 2011, con el objeto de realizar un ajuste en la cantidad de zonas primarias, estableciéndose 13 zonas primarias.</w:t>
      </w:r>
    </w:p>
    <w:p w14:paraId="511B7CA2" w14:textId="77777777" w:rsidR="00AF6A53" w:rsidRPr="00B40D51" w:rsidRDefault="00AF6A53" w:rsidP="00AF6A53">
      <w:pPr>
        <w:spacing w:after="0" w:line="240" w:lineRule="auto"/>
        <w:jc w:val="both"/>
        <w:rPr>
          <w:rFonts w:ascii="Century Gothic" w:hAnsi="Century Gothic"/>
        </w:rPr>
      </w:pPr>
      <w:r w:rsidRPr="00B40D51">
        <w:rPr>
          <w:rFonts w:ascii="Century Gothic" w:hAnsi="Century Gothic"/>
        </w:rPr>
        <w:t xml:space="preserve">Hoy, en virtud del dinamismo de la industria de las telecomunicaciones, de los avances tecnológicos y normativos, el actual PTF de encaminamiento telefónico, antes señalado, ha quedado desactualizado. Un ejemplo de ello resulta de la eliminación de la larga distancia nacional donde se han eliminado las zonas primarias, existiendo una gran zona primaria a nivel país.  Es por ello que la Subsecretaría de telecomunicaciones, en adelante  Subtel, desarrolló un trabajo de actualización de este decreto, buscan ajustarse a los nuevos tiempo donde la convergencia tecnológica y de servicios juega un rol importantísimo. </w:t>
      </w:r>
    </w:p>
    <w:p w14:paraId="2689408C" w14:textId="77777777" w:rsidR="00B3233E" w:rsidRDefault="00B3233E" w:rsidP="00B3233E">
      <w:pPr>
        <w:pStyle w:val="Default"/>
        <w:jc w:val="both"/>
        <w:rPr>
          <w:rFonts w:ascii="Century Gothic" w:hAnsi="Century Gothic" w:cs="Arial"/>
          <w:sz w:val="22"/>
          <w:szCs w:val="22"/>
        </w:rPr>
      </w:pPr>
      <w:r w:rsidRPr="00B3233E">
        <w:rPr>
          <w:rFonts w:ascii="Century Gothic" w:hAnsi="Century Gothic" w:cs="Arial"/>
          <w:sz w:val="22"/>
          <w:szCs w:val="22"/>
        </w:rPr>
        <w:t xml:space="preserve"> </w:t>
      </w:r>
    </w:p>
    <w:p w14:paraId="7A7E11B3" w14:textId="77777777" w:rsidR="00B3233E" w:rsidRDefault="00B3233E" w:rsidP="00B3233E">
      <w:pPr>
        <w:pStyle w:val="Default"/>
        <w:jc w:val="both"/>
        <w:rPr>
          <w:rFonts w:ascii="Century Gothic" w:hAnsi="Century Gothic" w:cs="Arial"/>
          <w:sz w:val="22"/>
          <w:szCs w:val="22"/>
        </w:rPr>
      </w:pPr>
    </w:p>
    <w:p w14:paraId="5179EDDF" w14:textId="77777777" w:rsidR="00B3233E" w:rsidRPr="00B3233E" w:rsidRDefault="00B3233E" w:rsidP="00B3233E">
      <w:pPr>
        <w:pStyle w:val="Default"/>
        <w:jc w:val="both"/>
        <w:rPr>
          <w:rFonts w:ascii="Century Gothic" w:hAnsi="Century Gothic" w:cs="Arial"/>
          <w:sz w:val="22"/>
          <w:szCs w:val="22"/>
        </w:rPr>
      </w:pPr>
    </w:p>
    <w:p w14:paraId="4DA768F1" w14:textId="77777777" w:rsidR="00B3233E" w:rsidRDefault="00B3233E" w:rsidP="00B3233E">
      <w:pPr>
        <w:pStyle w:val="Default"/>
        <w:jc w:val="both"/>
        <w:rPr>
          <w:rFonts w:ascii="Century Gothic" w:hAnsi="Century Gothic" w:cs="Arial"/>
          <w:b/>
          <w:bCs/>
          <w:sz w:val="22"/>
          <w:szCs w:val="22"/>
        </w:rPr>
      </w:pPr>
      <w:r w:rsidRPr="00B3233E">
        <w:rPr>
          <w:rFonts w:ascii="Century Gothic" w:hAnsi="Century Gothic" w:cs="Arial"/>
          <w:b/>
          <w:bCs/>
          <w:sz w:val="22"/>
          <w:szCs w:val="22"/>
        </w:rPr>
        <w:t xml:space="preserve">II DESCRIPCIÓN DEL PLAN </w:t>
      </w:r>
      <w:r w:rsidR="00AF6A53">
        <w:rPr>
          <w:rFonts w:ascii="Century Gothic" w:hAnsi="Century Gothic" w:cs="Arial"/>
          <w:b/>
          <w:bCs/>
          <w:sz w:val="22"/>
          <w:szCs w:val="22"/>
        </w:rPr>
        <w:t>TÉCNICO FUNDAMENTAL DE ENCAMINAMIENTO</w:t>
      </w:r>
      <w:r w:rsidRPr="00B3233E">
        <w:rPr>
          <w:rFonts w:ascii="Century Gothic" w:hAnsi="Century Gothic" w:cs="Arial"/>
          <w:b/>
          <w:bCs/>
          <w:sz w:val="22"/>
          <w:szCs w:val="22"/>
        </w:rPr>
        <w:t xml:space="preserve"> </w:t>
      </w:r>
    </w:p>
    <w:p w14:paraId="2A71B2BB" w14:textId="77777777" w:rsidR="00B3233E" w:rsidRDefault="00B3233E" w:rsidP="00B3233E">
      <w:pPr>
        <w:pStyle w:val="Default"/>
        <w:jc w:val="both"/>
        <w:rPr>
          <w:rFonts w:ascii="Century Gothic" w:hAnsi="Century Gothic" w:cs="Arial"/>
          <w:b/>
          <w:bCs/>
          <w:sz w:val="22"/>
          <w:szCs w:val="22"/>
        </w:rPr>
      </w:pPr>
    </w:p>
    <w:p w14:paraId="66E266DB" w14:textId="77777777" w:rsidR="00AF6A53" w:rsidRPr="00B40D51" w:rsidRDefault="00AF6A53" w:rsidP="00B40D51">
      <w:pPr>
        <w:pStyle w:val="HTMLconformatoprevio"/>
        <w:shd w:val="clear" w:color="auto" w:fill="FFFFFF"/>
        <w:spacing w:line="200" w:lineRule="atLeast"/>
        <w:jc w:val="both"/>
        <w:rPr>
          <w:rFonts w:ascii="Century Gothic" w:hAnsi="Century Gothic"/>
          <w:sz w:val="22"/>
          <w:szCs w:val="22"/>
        </w:rPr>
      </w:pPr>
      <w:r w:rsidRPr="00B40D51">
        <w:rPr>
          <w:rFonts w:ascii="Century Gothic" w:hAnsi="Century Gothic"/>
          <w:sz w:val="22"/>
          <w:szCs w:val="22"/>
        </w:rPr>
        <w:t>El objetivo del plan técnico fundamental de encaminamiento es el de regular el encaminamiento de las comunicaciones para su correcta interconexión a través de las redes de las distintas concesionarias y a través de las interconexiones entre las redes de los diferentes proveedores de servicios de telecomunicaciones interconectados a las redes públicas.</w:t>
      </w:r>
    </w:p>
    <w:p w14:paraId="1690BEDF" w14:textId="77777777" w:rsidR="00AF6A53" w:rsidRPr="00B40D51" w:rsidRDefault="00AF6A53" w:rsidP="00B40D51">
      <w:pPr>
        <w:pStyle w:val="HTMLconformatoprevio"/>
        <w:shd w:val="clear" w:color="auto" w:fill="FFFFFF"/>
        <w:spacing w:line="200" w:lineRule="atLeast"/>
        <w:jc w:val="both"/>
        <w:rPr>
          <w:rFonts w:ascii="Century Gothic" w:hAnsi="Century Gothic"/>
          <w:sz w:val="22"/>
          <w:szCs w:val="22"/>
        </w:rPr>
      </w:pPr>
    </w:p>
    <w:p w14:paraId="49F72649" w14:textId="77777777" w:rsidR="00AF6A53" w:rsidRPr="00B40D51" w:rsidRDefault="00AF6A53" w:rsidP="00B40D51">
      <w:pPr>
        <w:pStyle w:val="HTMLconformatoprevio"/>
        <w:shd w:val="clear" w:color="auto" w:fill="FFFFFF"/>
        <w:spacing w:line="200" w:lineRule="atLeast"/>
        <w:jc w:val="both"/>
        <w:rPr>
          <w:rFonts w:ascii="Century Gothic" w:hAnsi="Century Gothic"/>
          <w:sz w:val="22"/>
          <w:szCs w:val="22"/>
        </w:rPr>
      </w:pPr>
      <w:r w:rsidRPr="00B40D51">
        <w:rPr>
          <w:rFonts w:ascii="Century Gothic" w:hAnsi="Century Gothic"/>
          <w:sz w:val="22"/>
          <w:szCs w:val="22"/>
        </w:rPr>
        <w:t>La estructura de este plan técnico fundamental de encaminamiento es la siguiente:</w:t>
      </w:r>
    </w:p>
    <w:p w14:paraId="29849DFB" w14:textId="77777777" w:rsidR="00B3233E" w:rsidRPr="00B40D51" w:rsidRDefault="00AF6A53" w:rsidP="00B40D51">
      <w:pPr>
        <w:pStyle w:val="HTMLconformatoprevio"/>
        <w:numPr>
          <w:ilvl w:val="0"/>
          <w:numId w:val="3"/>
        </w:numPr>
        <w:shd w:val="clear" w:color="auto" w:fill="FFFFFF"/>
        <w:spacing w:line="200" w:lineRule="atLeast"/>
        <w:jc w:val="both"/>
        <w:rPr>
          <w:rFonts w:ascii="Century Gothic" w:hAnsi="Century Gothic"/>
          <w:sz w:val="22"/>
          <w:szCs w:val="22"/>
        </w:rPr>
      </w:pPr>
      <w:r w:rsidRPr="00B40D51">
        <w:rPr>
          <w:rFonts w:ascii="Century Gothic" w:hAnsi="Century Gothic"/>
          <w:sz w:val="22"/>
          <w:szCs w:val="22"/>
        </w:rPr>
        <w:t>TÍTULO I: Del ámbito de aplicación</w:t>
      </w:r>
    </w:p>
    <w:p w14:paraId="5FAD6965" w14:textId="77777777" w:rsidR="00B3233E" w:rsidRPr="00B40D51" w:rsidRDefault="00B3233E" w:rsidP="00B40D51">
      <w:pPr>
        <w:pStyle w:val="HTMLconformatoprevio"/>
        <w:numPr>
          <w:ilvl w:val="0"/>
          <w:numId w:val="3"/>
        </w:numPr>
        <w:shd w:val="clear" w:color="auto" w:fill="FFFFFF"/>
        <w:spacing w:line="200" w:lineRule="atLeast"/>
        <w:jc w:val="both"/>
        <w:rPr>
          <w:rFonts w:ascii="Century Gothic" w:hAnsi="Century Gothic"/>
          <w:sz w:val="22"/>
          <w:szCs w:val="22"/>
        </w:rPr>
      </w:pPr>
      <w:r w:rsidRPr="00B40D51">
        <w:rPr>
          <w:rFonts w:ascii="Century Gothic" w:hAnsi="Century Gothic"/>
          <w:sz w:val="22"/>
          <w:szCs w:val="22"/>
        </w:rPr>
        <w:t xml:space="preserve">TÍTULO II: </w:t>
      </w:r>
      <w:r w:rsidR="00AF6A53" w:rsidRPr="00B40D51">
        <w:rPr>
          <w:rFonts w:ascii="Century Gothic" w:hAnsi="Century Gothic"/>
          <w:sz w:val="22"/>
          <w:szCs w:val="22"/>
        </w:rPr>
        <w:t>De las definiciones y terminología</w:t>
      </w:r>
    </w:p>
    <w:p w14:paraId="1AB11EE9" w14:textId="77777777" w:rsidR="00B3233E" w:rsidRPr="00B40D51" w:rsidRDefault="00B3233E" w:rsidP="00B40D51">
      <w:pPr>
        <w:pStyle w:val="HTMLconformatoprevio"/>
        <w:numPr>
          <w:ilvl w:val="0"/>
          <w:numId w:val="3"/>
        </w:numPr>
        <w:shd w:val="clear" w:color="auto" w:fill="FFFFFF"/>
        <w:spacing w:line="200" w:lineRule="atLeast"/>
        <w:jc w:val="both"/>
        <w:rPr>
          <w:rFonts w:ascii="Century Gothic" w:hAnsi="Century Gothic"/>
          <w:sz w:val="22"/>
          <w:szCs w:val="22"/>
        </w:rPr>
      </w:pPr>
      <w:r w:rsidRPr="00B40D51">
        <w:rPr>
          <w:rFonts w:ascii="Century Gothic" w:hAnsi="Century Gothic"/>
          <w:sz w:val="22"/>
          <w:szCs w:val="22"/>
        </w:rPr>
        <w:t xml:space="preserve">TÍTULO III: </w:t>
      </w:r>
      <w:r w:rsidR="00AF6A53" w:rsidRPr="00B40D51">
        <w:rPr>
          <w:rFonts w:ascii="Century Gothic" w:hAnsi="Century Gothic"/>
          <w:sz w:val="22"/>
          <w:szCs w:val="22"/>
        </w:rPr>
        <w:t>De la estructura de la red pública</w:t>
      </w:r>
    </w:p>
    <w:p w14:paraId="17FB949B" w14:textId="77777777" w:rsidR="00AF6A53" w:rsidRPr="00B40D51" w:rsidRDefault="00B3233E" w:rsidP="00B40D51">
      <w:pPr>
        <w:pStyle w:val="HTMLconformatoprevio"/>
        <w:numPr>
          <w:ilvl w:val="0"/>
          <w:numId w:val="3"/>
        </w:numPr>
        <w:shd w:val="clear" w:color="auto" w:fill="FFFFFF"/>
        <w:spacing w:line="200" w:lineRule="atLeast"/>
        <w:jc w:val="both"/>
        <w:rPr>
          <w:rFonts w:ascii="Century Gothic" w:hAnsi="Century Gothic"/>
          <w:sz w:val="22"/>
          <w:szCs w:val="22"/>
        </w:rPr>
      </w:pPr>
      <w:r w:rsidRPr="00B40D51">
        <w:rPr>
          <w:rFonts w:ascii="Century Gothic" w:hAnsi="Century Gothic"/>
          <w:sz w:val="22"/>
          <w:szCs w:val="22"/>
        </w:rPr>
        <w:t xml:space="preserve">TÍTULO IV: </w:t>
      </w:r>
      <w:r w:rsidR="00AF6A53" w:rsidRPr="00B40D51">
        <w:rPr>
          <w:rFonts w:ascii="Century Gothic" w:hAnsi="Century Gothic"/>
          <w:sz w:val="22"/>
          <w:szCs w:val="22"/>
        </w:rPr>
        <w:t>De las obligaciones del servicio público de telecomunicaciones</w:t>
      </w:r>
    </w:p>
    <w:p w14:paraId="2980CE7C" w14:textId="77777777" w:rsidR="00B40D51" w:rsidRPr="00B40D51" w:rsidRDefault="00B3233E" w:rsidP="00B40D51">
      <w:pPr>
        <w:pStyle w:val="HTMLconformatoprevio"/>
        <w:numPr>
          <w:ilvl w:val="0"/>
          <w:numId w:val="3"/>
        </w:numPr>
        <w:shd w:val="clear" w:color="auto" w:fill="FFFFFF"/>
        <w:spacing w:line="200" w:lineRule="atLeast"/>
        <w:jc w:val="both"/>
        <w:rPr>
          <w:rFonts w:ascii="Century Gothic" w:hAnsi="Century Gothic"/>
          <w:sz w:val="22"/>
          <w:szCs w:val="22"/>
        </w:rPr>
      </w:pPr>
      <w:r w:rsidRPr="00B40D51">
        <w:rPr>
          <w:rFonts w:ascii="Century Gothic" w:hAnsi="Century Gothic"/>
          <w:sz w:val="22"/>
          <w:szCs w:val="22"/>
        </w:rPr>
        <w:t xml:space="preserve">TITULO V: </w:t>
      </w:r>
      <w:r w:rsidR="00AF6A53" w:rsidRPr="00B40D51">
        <w:rPr>
          <w:rFonts w:ascii="Century Gothic" w:hAnsi="Century Gothic"/>
          <w:sz w:val="22"/>
          <w:szCs w:val="22"/>
        </w:rPr>
        <w:t>De las interconexiones</w:t>
      </w:r>
      <w:r w:rsidR="00B40D51" w:rsidRPr="00B40D51">
        <w:rPr>
          <w:rFonts w:ascii="Century Gothic" w:hAnsi="Century Gothic"/>
          <w:sz w:val="22"/>
          <w:szCs w:val="22"/>
        </w:rPr>
        <w:t xml:space="preserve"> </w:t>
      </w:r>
    </w:p>
    <w:p w14:paraId="4D7E2C29" w14:textId="77777777" w:rsidR="00B40D51" w:rsidRPr="00B40D51" w:rsidRDefault="00B40D51" w:rsidP="00B40D51">
      <w:pPr>
        <w:pStyle w:val="HTMLconformatoprevio"/>
        <w:numPr>
          <w:ilvl w:val="0"/>
          <w:numId w:val="3"/>
        </w:numPr>
        <w:shd w:val="clear" w:color="auto" w:fill="FFFFFF"/>
        <w:spacing w:line="200" w:lineRule="atLeast"/>
        <w:jc w:val="both"/>
        <w:rPr>
          <w:rFonts w:ascii="Century Gothic" w:hAnsi="Century Gothic"/>
          <w:sz w:val="22"/>
          <w:szCs w:val="22"/>
        </w:rPr>
      </w:pPr>
      <w:r w:rsidRPr="00B40D51">
        <w:rPr>
          <w:rFonts w:ascii="Century Gothic" w:hAnsi="Century Gothic"/>
          <w:sz w:val="22"/>
          <w:szCs w:val="22"/>
        </w:rPr>
        <w:t>TITULO VI: Otras disposiciones</w:t>
      </w:r>
    </w:p>
    <w:p w14:paraId="7C70F4D0" w14:textId="77777777" w:rsidR="00B40D51" w:rsidRPr="00B40D51" w:rsidRDefault="00B40D51" w:rsidP="00B40D51">
      <w:pPr>
        <w:pStyle w:val="HTMLconformatoprevio"/>
        <w:numPr>
          <w:ilvl w:val="0"/>
          <w:numId w:val="3"/>
        </w:numPr>
        <w:shd w:val="clear" w:color="auto" w:fill="FFFFFF"/>
        <w:spacing w:line="200" w:lineRule="atLeast"/>
        <w:jc w:val="both"/>
        <w:rPr>
          <w:rFonts w:ascii="Century Gothic" w:hAnsi="Century Gothic"/>
          <w:sz w:val="22"/>
          <w:szCs w:val="22"/>
        </w:rPr>
      </w:pPr>
      <w:r w:rsidRPr="00B40D51">
        <w:rPr>
          <w:rFonts w:ascii="Century Gothic" w:hAnsi="Century Gothic"/>
          <w:sz w:val="22"/>
          <w:szCs w:val="22"/>
        </w:rPr>
        <w:t>Disposiciones Transitorias</w:t>
      </w:r>
    </w:p>
    <w:p w14:paraId="146CBA30" w14:textId="77777777" w:rsidR="00B3233E" w:rsidRPr="00B40D51" w:rsidRDefault="00B3233E" w:rsidP="00B40D51">
      <w:pPr>
        <w:pStyle w:val="HTMLconformatoprevio"/>
        <w:shd w:val="clear" w:color="auto" w:fill="FFFFFF"/>
        <w:spacing w:line="200" w:lineRule="atLeast"/>
        <w:jc w:val="both"/>
        <w:rPr>
          <w:rFonts w:ascii="Century Gothic" w:hAnsi="Century Gothic"/>
          <w:sz w:val="22"/>
          <w:szCs w:val="22"/>
        </w:rPr>
      </w:pPr>
    </w:p>
    <w:p w14:paraId="2A2F8933" w14:textId="77777777" w:rsidR="00B3233E" w:rsidRDefault="00B3233E" w:rsidP="00B3233E">
      <w:pPr>
        <w:pStyle w:val="Default"/>
        <w:jc w:val="both"/>
        <w:rPr>
          <w:rFonts w:ascii="Century Gothic" w:hAnsi="Century Gothic" w:cs="Arial"/>
          <w:sz w:val="23"/>
          <w:szCs w:val="23"/>
        </w:rPr>
      </w:pPr>
    </w:p>
    <w:p w14:paraId="7CAF211F" w14:textId="77777777" w:rsidR="00B3233E" w:rsidRPr="00B3233E" w:rsidRDefault="00B3233E" w:rsidP="00B3233E">
      <w:pPr>
        <w:pStyle w:val="Default"/>
        <w:jc w:val="both"/>
        <w:rPr>
          <w:rFonts w:ascii="Century Gothic" w:hAnsi="Century Gothic" w:cs="Arial"/>
          <w:sz w:val="23"/>
          <w:szCs w:val="23"/>
        </w:rPr>
      </w:pPr>
    </w:p>
    <w:p w14:paraId="659699EC" w14:textId="77777777" w:rsidR="00B3233E" w:rsidRDefault="00B3233E" w:rsidP="00B3233E">
      <w:pPr>
        <w:pStyle w:val="Default"/>
        <w:jc w:val="both"/>
        <w:rPr>
          <w:rFonts w:ascii="Century Gothic" w:hAnsi="Century Gothic" w:cs="Arial"/>
          <w:b/>
          <w:bCs/>
          <w:sz w:val="22"/>
          <w:szCs w:val="22"/>
        </w:rPr>
      </w:pPr>
      <w:r w:rsidRPr="00B3233E">
        <w:rPr>
          <w:rFonts w:ascii="Century Gothic" w:hAnsi="Century Gothic" w:cs="Arial"/>
          <w:b/>
          <w:bCs/>
          <w:sz w:val="22"/>
          <w:szCs w:val="22"/>
        </w:rPr>
        <w:t xml:space="preserve">II CONCLUSIÓN </w:t>
      </w:r>
    </w:p>
    <w:p w14:paraId="5D9BCFB8" w14:textId="77777777" w:rsidR="00B3233E" w:rsidRPr="00B3233E" w:rsidRDefault="00B3233E" w:rsidP="00B3233E">
      <w:pPr>
        <w:pStyle w:val="Default"/>
        <w:jc w:val="both"/>
        <w:rPr>
          <w:rFonts w:ascii="Century Gothic" w:hAnsi="Century Gothic" w:cs="Arial"/>
          <w:sz w:val="22"/>
          <w:szCs w:val="22"/>
        </w:rPr>
      </w:pPr>
    </w:p>
    <w:p w14:paraId="3D7CAFA5" w14:textId="77777777" w:rsidR="00B3233E" w:rsidRPr="00B3233E" w:rsidRDefault="00B3233E" w:rsidP="00B3233E">
      <w:pPr>
        <w:jc w:val="both"/>
        <w:rPr>
          <w:rFonts w:ascii="Century Gothic" w:hAnsi="Century Gothic" w:cs="Arial"/>
        </w:rPr>
      </w:pPr>
      <w:r w:rsidRPr="00B3233E">
        <w:rPr>
          <w:rFonts w:ascii="Century Gothic" w:hAnsi="Century Gothic" w:cs="Arial"/>
          <w:sz w:val="23"/>
          <w:szCs w:val="23"/>
        </w:rPr>
        <w:t>Tenien</w:t>
      </w:r>
      <w:r>
        <w:rPr>
          <w:rFonts w:ascii="Century Gothic" w:hAnsi="Century Gothic" w:cs="Arial"/>
          <w:sz w:val="23"/>
          <w:szCs w:val="23"/>
        </w:rPr>
        <w:t xml:space="preserve">do en cuenta, la importancia de la participación ciudadana, así como el efecto que estas modificaciones puedan tener en las </w:t>
      </w:r>
      <w:r w:rsidRPr="00B3233E">
        <w:rPr>
          <w:rFonts w:ascii="Century Gothic" w:hAnsi="Century Gothic" w:cs="Arial"/>
          <w:sz w:val="23"/>
          <w:szCs w:val="23"/>
        </w:rPr>
        <w:t>actuales y futuras concesionarias</w:t>
      </w:r>
      <w:r>
        <w:rPr>
          <w:rFonts w:ascii="Century Gothic" w:hAnsi="Century Gothic" w:cs="Arial"/>
          <w:sz w:val="23"/>
          <w:szCs w:val="23"/>
        </w:rPr>
        <w:t xml:space="preserve">, </w:t>
      </w:r>
      <w:r w:rsidRPr="00B3233E">
        <w:rPr>
          <w:rFonts w:ascii="Century Gothic" w:hAnsi="Century Gothic" w:cs="Arial"/>
          <w:sz w:val="23"/>
          <w:szCs w:val="23"/>
        </w:rPr>
        <w:t>se ha resuelto someter a Consulta Ciudadana la propuesta reglamentaria antes mencionada.</w:t>
      </w:r>
    </w:p>
    <w:sectPr w:rsidR="00B3233E" w:rsidRPr="00B323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94F07"/>
    <w:multiLevelType w:val="hybridMultilevel"/>
    <w:tmpl w:val="FC2851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C0175BC"/>
    <w:multiLevelType w:val="hybridMultilevel"/>
    <w:tmpl w:val="E36EB0E6"/>
    <w:lvl w:ilvl="0" w:tplc="0FB878B2">
      <w:start w:val="1"/>
      <w:numFmt w:val="ordinal"/>
      <w:lvlText w:val="Artículo %1."/>
      <w:lvlJc w:val="left"/>
      <w:pPr>
        <w:ind w:left="360" w:hanging="360"/>
      </w:pPr>
      <w:rPr>
        <w:rFonts w:hint="default"/>
        <w:b/>
      </w:rPr>
    </w:lvl>
    <w:lvl w:ilvl="1" w:tplc="340A0019" w:tentative="1">
      <w:start w:val="1"/>
      <w:numFmt w:val="lowerLetter"/>
      <w:lvlText w:val="%2."/>
      <w:lvlJc w:val="left"/>
      <w:pPr>
        <w:ind w:left="-4389" w:hanging="360"/>
      </w:pPr>
    </w:lvl>
    <w:lvl w:ilvl="2" w:tplc="340A001B" w:tentative="1">
      <w:start w:val="1"/>
      <w:numFmt w:val="lowerRoman"/>
      <w:lvlText w:val="%3."/>
      <w:lvlJc w:val="right"/>
      <w:pPr>
        <w:ind w:left="-3669" w:hanging="180"/>
      </w:pPr>
    </w:lvl>
    <w:lvl w:ilvl="3" w:tplc="340A000F" w:tentative="1">
      <w:start w:val="1"/>
      <w:numFmt w:val="decimal"/>
      <w:lvlText w:val="%4."/>
      <w:lvlJc w:val="left"/>
      <w:pPr>
        <w:ind w:left="-2949" w:hanging="360"/>
      </w:pPr>
    </w:lvl>
    <w:lvl w:ilvl="4" w:tplc="340A0019" w:tentative="1">
      <w:start w:val="1"/>
      <w:numFmt w:val="lowerLetter"/>
      <w:lvlText w:val="%5."/>
      <w:lvlJc w:val="left"/>
      <w:pPr>
        <w:ind w:left="-2229" w:hanging="360"/>
      </w:pPr>
    </w:lvl>
    <w:lvl w:ilvl="5" w:tplc="340A001B" w:tentative="1">
      <w:start w:val="1"/>
      <w:numFmt w:val="lowerRoman"/>
      <w:lvlText w:val="%6."/>
      <w:lvlJc w:val="right"/>
      <w:pPr>
        <w:ind w:left="-1509" w:hanging="180"/>
      </w:pPr>
    </w:lvl>
    <w:lvl w:ilvl="6" w:tplc="340A000F" w:tentative="1">
      <w:start w:val="1"/>
      <w:numFmt w:val="decimal"/>
      <w:lvlText w:val="%7."/>
      <w:lvlJc w:val="left"/>
      <w:pPr>
        <w:ind w:left="-789" w:hanging="360"/>
      </w:pPr>
    </w:lvl>
    <w:lvl w:ilvl="7" w:tplc="340A0019" w:tentative="1">
      <w:start w:val="1"/>
      <w:numFmt w:val="lowerLetter"/>
      <w:lvlText w:val="%8."/>
      <w:lvlJc w:val="left"/>
      <w:pPr>
        <w:ind w:left="-69" w:hanging="360"/>
      </w:pPr>
    </w:lvl>
    <w:lvl w:ilvl="8" w:tplc="340A001B" w:tentative="1">
      <w:start w:val="1"/>
      <w:numFmt w:val="lowerRoman"/>
      <w:lvlText w:val="%9."/>
      <w:lvlJc w:val="right"/>
      <w:pPr>
        <w:ind w:left="651" w:hanging="180"/>
      </w:pPr>
    </w:lvl>
  </w:abstractNum>
  <w:abstractNum w:abstractNumId="2">
    <w:nsid w:val="71A2115D"/>
    <w:multiLevelType w:val="hybridMultilevel"/>
    <w:tmpl w:val="7DF494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3E"/>
    <w:rsid w:val="00541649"/>
    <w:rsid w:val="0060023A"/>
    <w:rsid w:val="00680A3A"/>
    <w:rsid w:val="00AF6A53"/>
    <w:rsid w:val="00B22CFA"/>
    <w:rsid w:val="00B3233E"/>
    <w:rsid w:val="00B40D5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B9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53"/>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3233E"/>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3233E"/>
    <w:pPr>
      <w:ind w:left="720"/>
      <w:contextualSpacing/>
    </w:pPr>
  </w:style>
  <w:style w:type="paragraph" w:styleId="HTMLconformatoprevio">
    <w:name w:val="HTML Preformatted"/>
    <w:basedOn w:val="Normal"/>
    <w:link w:val="HTMLconformatoprevioCar"/>
    <w:uiPriority w:val="99"/>
    <w:unhideWhenUsed/>
    <w:rsid w:val="00AF6A53"/>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AF6A53"/>
    <w:rPr>
      <w:rFonts w:ascii="Consolas" w:eastAsia="Calibri" w:hAnsi="Consolas" w:cs="Consolas"/>
      <w:sz w:val="20"/>
      <w:szCs w:val="20"/>
      <w:lang w:val="es-ES"/>
    </w:rPr>
  </w:style>
  <w:style w:type="character" w:styleId="Refdecomentario">
    <w:name w:val="annotation reference"/>
    <w:basedOn w:val="Fuentedeprrafopredeter"/>
    <w:semiHidden/>
    <w:unhideWhenUsed/>
    <w:rsid w:val="00AF6A53"/>
    <w:rPr>
      <w:sz w:val="16"/>
      <w:szCs w:val="16"/>
    </w:rPr>
  </w:style>
  <w:style w:type="paragraph" w:styleId="Textocomentario">
    <w:name w:val="annotation text"/>
    <w:basedOn w:val="Normal"/>
    <w:link w:val="TextocomentarioCar"/>
    <w:semiHidden/>
    <w:unhideWhenUsed/>
    <w:rsid w:val="00AF6A53"/>
    <w:pPr>
      <w:spacing w:line="240" w:lineRule="auto"/>
    </w:pPr>
    <w:rPr>
      <w:rFonts w:asciiTheme="minorHAnsi" w:eastAsiaTheme="minorHAnsi" w:hAnsiTheme="minorHAnsi" w:cstheme="minorBidi"/>
      <w:sz w:val="20"/>
      <w:szCs w:val="20"/>
      <w:lang w:val="es-CL"/>
    </w:rPr>
  </w:style>
  <w:style w:type="character" w:customStyle="1" w:styleId="TextocomentarioCar">
    <w:name w:val="Texto comentario Car"/>
    <w:basedOn w:val="Fuentedeprrafopredeter"/>
    <w:link w:val="Textocomentario"/>
    <w:semiHidden/>
    <w:rsid w:val="00AF6A53"/>
    <w:rPr>
      <w:sz w:val="20"/>
      <w:szCs w:val="20"/>
    </w:rPr>
  </w:style>
  <w:style w:type="paragraph" w:styleId="Textodeglobo">
    <w:name w:val="Balloon Text"/>
    <w:basedOn w:val="Normal"/>
    <w:link w:val="TextodegloboCar"/>
    <w:uiPriority w:val="99"/>
    <w:semiHidden/>
    <w:unhideWhenUsed/>
    <w:rsid w:val="00AF6A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A53"/>
    <w:rPr>
      <w:rFonts w:ascii="Tahoma" w:eastAsia="Calibri" w:hAnsi="Tahoma" w:cs="Tahoma"/>
      <w:sz w:val="16"/>
      <w:szCs w:val="16"/>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53"/>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3233E"/>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3233E"/>
    <w:pPr>
      <w:ind w:left="720"/>
      <w:contextualSpacing/>
    </w:pPr>
  </w:style>
  <w:style w:type="paragraph" w:styleId="HTMLconformatoprevio">
    <w:name w:val="HTML Preformatted"/>
    <w:basedOn w:val="Normal"/>
    <w:link w:val="HTMLconformatoprevioCar"/>
    <w:uiPriority w:val="99"/>
    <w:unhideWhenUsed/>
    <w:rsid w:val="00AF6A53"/>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AF6A53"/>
    <w:rPr>
      <w:rFonts w:ascii="Consolas" w:eastAsia="Calibri" w:hAnsi="Consolas" w:cs="Consolas"/>
      <w:sz w:val="20"/>
      <w:szCs w:val="20"/>
      <w:lang w:val="es-ES"/>
    </w:rPr>
  </w:style>
  <w:style w:type="character" w:styleId="Refdecomentario">
    <w:name w:val="annotation reference"/>
    <w:basedOn w:val="Fuentedeprrafopredeter"/>
    <w:semiHidden/>
    <w:unhideWhenUsed/>
    <w:rsid w:val="00AF6A53"/>
    <w:rPr>
      <w:sz w:val="16"/>
      <w:szCs w:val="16"/>
    </w:rPr>
  </w:style>
  <w:style w:type="paragraph" w:styleId="Textocomentario">
    <w:name w:val="annotation text"/>
    <w:basedOn w:val="Normal"/>
    <w:link w:val="TextocomentarioCar"/>
    <w:semiHidden/>
    <w:unhideWhenUsed/>
    <w:rsid w:val="00AF6A53"/>
    <w:pPr>
      <w:spacing w:line="240" w:lineRule="auto"/>
    </w:pPr>
    <w:rPr>
      <w:rFonts w:asciiTheme="minorHAnsi" w:eastAsiaTheme="minorHAnsi" w:hAnsiTheme="minorHAnsi" w:cstheme="minorBidi"/>
      <w:sz w:val="20"/>
      <w:szCs w:val="20"/>
      <w:lang w:val="es-CL"/>
    </w:rPr>
  </w:style>
  <w:style w:type="character" w:customStyle="1" w:styleId="TextocomentarioCar">
    <w:name w:val="Texto comentario Car"/>
    <w:basedOn w:val="Fuentedeprrafopredeter"/>
    <w:link w:val="Textocomentario"/>
    <w:semiHidden/>
    <w:rsid w:val="00AF6A53"/>
    <w:rPr>
      <w:sz w:val="20"/>
      <w:szCs w:val="20"/>
    </w:rPr>
  </w:style>
  <w:style w:type="paragraph" w:styleId="Textodeglobo">
    <w:name w:val="Balloon Text"/>
    <w:basedOn w:val="Normal"/>
    <w:link w:val="TextodegloboCar"/>
    <w:uiPriority w:val="99"/>
    <w:semiHidden/>
    <w:unhideWhenUsed/>
    <w:rsid w:val="00AF6A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A53"/>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391</Words>
  <Characters>2152</Characters>
  <Application>Microsoft Macintosh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Eduardo Sanchez Ortiz</cp:lastModifiedBy>
  <cp:revision>3</cp:revision>
  <dcterms:created xsi:type="dcterms:W3CDTF">2015-01-21T16:04:00Z</dcterms:created>
  <dcterms:modified xsi:type="dcterms:W3CDTF">2015-07-30T16:25:00Z</dcterms:modified>
</cp:coreProperties>
</file>